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Default Extension="png" ContentType="image/png"/>
</Types>
</file>

<file path=_rels/.rels><?xml version="1.0" encoding="UTF-8" standalone="yes"?><Relationships xmlns="http://schemas.openxmlformats.org/package/2006/relationships"><Relationship Id="r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r="http://schemas.openxmlformats.org/officeDocument/2006/relationships" xmlns:w="http://schemas.openxmlformats.org/wordprocessingml/2006/main" xmlns:wp="http://schemas.openxmlformats.org/drawingml/2006/wordprocessingDrawing">
  <w:body>
    <w:p>
      <w:pPr>
        <w:pStyle w:val="Title"/>
      </w:pPr>
      <w:r>
        <w:rPr/>
        <w:t xml:space="preserve">Bologna coding evidence report</w:t>
      </w:r>
    </w:p>
    <w:p>
      <w:pPr>
        <w:pStyle w:val="Subtitle"/>
      </w:pPr>
      <w:r>
        <w:rPr/>
        <w:t xml:space="preserve">Qualitative Content Analysis</w:t>
      </w:r>
    </w:p>
    <w:p>
      <w:pPr>
        <w:pStyle w:val="Meta"/>
      </w:pPr>
      <w:r>
        <w:rPr/>
        <w:t xml:space="preserve">Saved version 2 · 2026-10-18</w:t>
      </w:r>
    </w:p>
    <w:p>
      <w:pPr>
        <w:pStyle w:val="Heading1"/>
      </w:pPr>
      <w:r>
        <w:rPr/>
        <w:t xml:space="preserve">Research design</w:t>
      </w:r>
    </w:p>
    <w:p>
      <w:pPr>
        <w:pStyle w:val="Heading2"/>
      </w:pPr>
      <w:r>
        <w:rPr/>
        <w:t xml:space="preserve">Research question</w:t>
      </w:r>
    </w:p>
    <w:p>
      <w:pPr>
        <w:pStyle w:val="Normal"/>
      </w:pPr>
      <w:r>
        <w:rPr/>
        <w:t xml:space="preserve">How are research materials described in this saved Bologna coding record?</w:t>
      </w:r>
    </w:p>
    <w:p>
      <w:pPr>
        <w:pStyle w:val="Normal"/>
      </w:pPr>
      <w:r>
        <w:rPr/>
      </w:r>
      <w:r>
        <w:rPr>
          <w:b/>
        </w:rPr>
        <w:t xml:space="preserve">Case definition — </w:t>
      </w:r>
      <w:r>
        <w:rPr/>
        <w:t xml:space="preserve">The corpus has 19 public interview documents. The short written example below reviews selected passages from interview02.txt.</w:t>
      </w:r>
    </w:p>
    <w:p>
      <w:pPr>
        <w:pStyle w:val="Heading2"/>
      </w:pPr>
      <w:r>
        <w:rPr/>
        <w:t xml:space="preserve">Method and decisions</w:t>
      </w:r>
    </w:p>
    <w:p>
      <w:pPr>
        <w:pStyle w:val="Normal"/>
      </w:pPr>
      <w:r>
        <w:rPr/>
        <w:t xml:space="preserve">Method used: Qualitative Content Analysis</w:t>
      </w:r>
    </w:p>
    <w:p>
      <w:pPr>
        <w:pStyle w:val="Heading3"/>
      </w:pPr>
      <w:r>
        <w:rPr/>
        <w:t xml:space="preserve">Analytic approach</w:t>
      </w:r>
    </w:p>
    <w:p>
      <w:pPr>
        <w:pStyle w:val="Normal"/>
      </w:pPr>
      <w:r>
        <w:rPr/>
        <w:t xml:space="preserve">Qualitative Content Analysis</w:t>
      </w:r>
    </w:p>
    <w:p>
      <w:pPr>
        <w:pStyle w:val="Heading3"/>
      </w:pPr>
      <w:r>
        <w:rPr/>
        <w:t xml:space="preserve">Analysis unit</w:t>
      </w:r>
    </w:p>
    <w:p>
      <w:pPr>
        <w:pStyle w:val="Normal"/>
      </w:pPr>
      <w:r>
        <w:rPr/>
        <w:t xml:space="preserve">An existing quotation and its saved code path, read in the context of the full source document.</w:t>
      </w:r>
    </w:p>
    <w:p>
      <w:pPr>
        <w:pStyle w:val="Heading3"/>
      </w:pPr>
      <w:r>
        <w:rPr/>
        <w:t xml:space="preserve">Approach and decisions</w:t>
      </w:r>
    </w:p>
    <w:p>
      <w:pPr>
        <w:pStyle w:val="Normal"/>
      </w:pPr>
      <w:r>
        <w:rPr/>
        <w:t xml:space="preserve">This is a worked software example using the original Bologna coding. No new coding or participant interpretation was generated. Table labels retain the saved ancestry. Method steps show the workflow; unchecked review stages remain unconfirmed.</w:t>
      </w:r>
    </w:p>
    <w:p>
      <w:pPr>
        <w:pStyle w:val="Heading2"/>
        <w:pageBreakBefore/>
      </w:pPr>
      <w:r>
        <w:rPr/>
        <w:t xml:space="preserve">Method map M1</w:t>
      </w:r>
    </w:p>
    <w:p>
      <w:pPr>
        <w:pStyle w:val="ChapterNote"/>
      </w:pPr>
      <w:r>
        <w:rPr/>
        <w:t xml:space="preserve">Qualitative Content Analysis</w:t>
      </w:r>
    </w:p>
    <w:p>
      <w:pPr>
        <w:pStyle w:val="Meta"/>
      </w:pPr>
      <w:r>
        <w:rPr/>
        <w:t xml:space="preserve">Procedure overview, not a completion record. Record your approach and decisions; researcher confirmations remain separate.</w:t>
      </w:r>
    </w:p>
    <w:p>
      <w:pPr>
        <w:pStyle w:val="Normal"/>
        <w:keepNext/>
        <w:spacing w:before="60" w:after="60" w:line="260" w:lineRule="auto"/>
        <w:ind w:left="240" w:right="240"/>
        <w:pBdr>
          <w:left w:val="single" w:sz="12" w:space="10" w:color="4B607C"/>
        </w:pBdr>
        <w:shd w:val="clear" w:fill="F7F8F6"/>
      </w:pPr>
      <w:r>
        <w:rPr/>
      </w:r>
      <w:r>
        <w:rPr>
          <w:sz w:val="23"/>
          <w:b/>
          <w:rFonts w:ascii="Calibri" w:hAnsi="Calibri"/>
        </w:rPr>
        <w:t xml:space="preserve">01  Declare unit and approach</w:t>
      </w:r>
      <w:r>
        <w:rPr>
          <w:sz w:val="21"/>
        </w:rPr>
        <w:br/>
        <w:t xml:space="preserve">Document what is analysed and the chosen content analysis approach.</w:t>
      </w:r>
    </w:p>
    <w:p>
      <w:pPr>
        <w:pStyle w:val="Meta"/>
        <w:keepNext/>
        <w:spacing w:before="0" w:after="0" w:line="160" w:lineRule="auto"/>
        <w:jc w:val="center"/>
      </w:pPr>
      <w:r>
        <w:rPr/>
        <w:t xml:space="preserve">↓</w:t>
      </w:r>
    </w:p>
    <w:p>
      <w:pPr>
        <w:pStyle w:val="Normal"/>
        <w:keepNext/>
        <w:spacing w:before="60" w:after="60" w:line="260" w:lineRule="auto"/>
        <w:ind w:left="240" w:right="240"/>
        <w:pBdr>
          <w:left w:val="single" w:sz="12" w:space="10" w:color="4B607C"/>
        </w:pBdr>
        <w:shd w:val="clear" w:fill="F7F8F6"/>
      </w:pPr>
      <w:r>
        <w:rPr/>
      </w:r>
      <w:r>
        <w:rPr>
          <w:sz w:val="23"/>
          <w:b/>
          <w:rFonts w:ascii="Calibri" w:hAnsi="Calibri"/>
        </w:rPr>
        <w:t xml:space="preserve">02  Select meaning units</w:t>
      </w:r>
      <w:r>
        <w:rPr>
          <w:sz w:val="21"/>
        </w:rPr>
        <w:br/>
        <w:t xml:space="preserve">Identify relevant passages while retaining their surrounding context.</w:t>
      </w:r>
    </w:p>
    <w:p>
      <w:pPr>
        <w:pStyle w:val="Meta"/>
        <w:keepNext/>
        <w:spacing w:before="0" w:after="0" w:line="160" w:lineRule="auto"/>
        <w:jc w:val="center"/>
      </w:pPr>
      <w:r>
        <w:rPr/>
        <w:t xml:space="preserve">↓</w:t>
      </w:r>
    </w:p>
    <w:p>
      <w:pPr>
        <w:pStyle w:val="Normal"/>
        <w:keepNext/>
        <w:spacing w:before="60" w:after="60" w:line="260" w:lineRule="auto"/>
        <w:ind w:left="240" w:right="240"/>
        <w:pBdr>
          <w:left w:val="single" w:sz="12" w:space="10" w:color="4B607C"/>
        </w:pBdr>
        <w:shd w:val="clear" w:fill="F7F8F6"/>
      </w:pPr>
      <w:r>
        <w:rPr/>
      </w:r>
      <w:r>
        <w:rPr>
          <w:sz w:val="23"/>
          <w:b/>
          <w:rFonts w:ascii="Calibri" w:hAnsi="Calibri"/>
        </w:rPr>
        <w:t xml:space="preserve">03  Condense when appropriate</w:t>
      </w:r>
      <w:r>
        <w:rPr>
          <w:sz w:val="21"/>
        </w:rPr>
        <w:br/>
        <w:t xml:space="preserve">Shorten meaning units only when this fits the analytic design.</w:t>
      </w:r>
    </w:p>
    <w:p>
      <w:pPr>
        <w:pStyle w:val="Meta"/>
        <w:keepNext/>
        <w:spacing w:before="0" w:after="0" w:line="160" w:lineRule="auto"/>
        <w:jc w:val="center"/>
      </w:pPr>
      <w:r>
        <w:rPr/>
        <w:t xml:space="preserve">↓</w:t>
      </w:r>
    </w:p>
    <w:p>
      <w:pPr>
        <w:pStyle w:val="Normal"/>
        <w:keepNext/>
        <w:spacing w:before="60" w:after="60" w:line="260" w:lineRule="auto"/>
        <w:ind w:left="240" w:right="240"/>
        <w:pBdr>
          <w:left w:val="single" w:sz="12" w:space="10" w:color="4B607C"/>
        </w:pBdr>
        <w:shd w:val="clear" w:fill="F7F8F6"/>
      </w:pPr>
      <w:r>
        <w:rPr/>
      </w:r>
      <w:r>
        <w:rPr>
          <w:sz w:val="23"/>
          <w:b/>
          <w:rFonts w:ascii="Calibri" w:hAnsi="Calibri"/>
        </w:rPr>
        <w:t xml:space="preserve">04  Code and review categories</w:t>
      </w:r>
      <w:r>
        <w:rPr>
          <w:sz w:val="21"/>
        </w:rPr>
        <w:br/>
        <w:t xml:space="preserve">Compare codes and refine categories with explicit analytic decisions.</w:t>
      </w:r>
    </w:p>
    <w:p>
      <w:pPr>
        <w:pStyle w:val="Meta"/>
        <w:keepNext/>
        <w:spacing w:before="0" w:after="0" w:line="160" w:lineRule="auto"/>
        <w:jc w:val="center"/>
      </w:pPr>
      <w:r>
        <w:rPr/>
        <w:t xml:space="preserve">↓</w:t>
      </w:r>
    </w:p>
    <w:p>
      <w:pPr>
        <w:pStyle w:val="Normal"/>
        <w:keepNext/>
        <w:spacing w:before="60" w:after="60" w:line="260" w:lineRule="auto"/>
        <w:ind w:left="240" w:right="240"/>
        <w:pBdr>
          <w:left w:val="single" w:sz="12" w:space="10" w:color="4B607C"/>
        </w:pBdr>
        <w:shd w:val="clear" w:fill="F7F8F6"/>
      </w:pPr>
      <w:r>
        <w:rPr/>
      </w:r>
      <w:r>
        <w:rPr>
          <w:sz w:val="23"/>
          <w:b/>
          <w:rFonts w:ascii="Calibri" w:hAnsi="Calibri"/>
        </w:rPr>
        <w:t xml:space="preserve">05  Interpret in context</w:t>
      </w:r>
      <w:r>
        <w:rPr>
          <w:sz w:val="21"/>
        </w:rPr>
        <w:br/>
        <w:t xml:space="preserve">Consider meaning and abstraction; themes are optional, design-dependent.</w:t>
      </w:r>
    </w:p>
    <w:p>
      <w:pPr>
        <w:pStyle w:val="Meta"/>
        <w:keepNext/>
        <w:spacing w:before="0" w:after="0" w:line="160" w:lineRule="auto"/>
        <w:jc w:val="center"/>
      </w:pPr>
      <w:r>
        <w:rPr/>
        <w:t xml:space="preserve">↓</w:t>
      </w:r>
    </w:p>
    <w:p>
      <w:pPr>
        <w:pStyle w:val="Normal"/>
        <w:keepNext/>
        <w:spacing w:before="60" w:after="60" w:line="260" w:lineRule="auto"/>
        <w:ind w:left="240" w:right="240"/>
        <w:pBdr>
          <w:left w:val="single" w:sz="12" w:space="10" w:color="4B607C"/>
        </w:pBdr>
        <w:shd w:val="clear" w:fill="F7F8F6"/>
      </w:pPr>
      <w:r>
        <w:rPr/>
      </w:r>
      <w:r>
        <w:rPr>
          <w:sz w:val="23"/>
          <w:b/>
          <w:rFonts w:ascii="Calibri" w:hAnsi="Calibri"/>
        </w:rPr>
        <w:t xml:space="preserve">06  Write with evidence</w:t>
      </w:r>
      <w:r>
        <w:rPr>
          <w:sz w:val="21"/>
        </w:rPr>
        <w:br/>
        <w:t xml:space="preserve">Connect categories, interpretation and source quotations in the report.</w:t>
      </w:r>
    </w:p>
    <w:p>
      <w:pPr>
        <w:pStyle w:val="Meta"/>
      </w:pPr>
      <w:r>
        <w:rPr/>
        <w:t xml:space="preserve">Revisit 05 → 02 · Select meaning units</w:t>
      </w:r>
    </w:p>
    <w:p>
      <w:pPr>
        <w:pStyle w:val="Meta"/>
      </w:pPr>
      <w:r>
        <w:rPr/>
        <w:t xml:space="preserve">Content analysis is a complete method. It is not a compulsory preliminary stage for TA or Comparative QCA.</w:t>
      </w:r>
    </w:p>
    <w:p>
      <w:pPr>
        <w:pStyle w:val="Heading3"/>
      </w:pPr>
      <w:r>
        <w:rPr/>
        <w:t xml:space="preserve">Method sources</w:t>
      </w:r>
    </w:p>
    <w:p>
      <w:pPr>
        <w:pStyle w:val="Meta"/>
      </w:pPr>
      <w:r>
        <w:rPr/>
        <w:t xml:space="preserve">Graneheim and Lundman (2004) · concepts and procedures</w:t>
        <w:br/>
        <w:t xml:space="preserve">https://doi.org/10.1016/j.nedt.2003.10.001</w:t>
      </w:r>
    </w:p>
    <w:p>
      <w:pPr>
        <w:pStyle w:val="Meta"/>
      </w:pPr>
      <w:r>
        <w:rPr/>
        <w:t xml:space="preserve">Saved report version 2</w:t>
        <w:br/>
        <w:t xml:space="preserve">method-map schema v1</w:t>
        <w:br/>
        <w:t xml:space="preserve">Coding source SHA256 c41fb0c1685d251ca701f358aae3975d978bae146a0c0d50b5b91365d0e26b5d</w:t>
      </w:r>
    </w:p>
    <w:p>
      <w:pPr>
        <w:pStyle w:val="Heading1"/>
        <w:pageBreakBefore/>
      </w:pPr>
      <w:r>
        <w:rPr/>
        <w:t xml:space="preserve">Findings</w:t>
      </w:r>
    </w:p>
    <w:p>
      <w:pPr>
        <w:pStyle w:val="Heading2"/>
      </w:pPr>
      <w:r>
        <w:rPr/>
        <w:t xml:space="preserve">Analysis Table</w:t>
      </w:r>
    </w:p>
    <w:p>
      <w:pPr>
        <w:pStyle w:val="ChapterNote"/>
      </w:pPr>
      <w:r>
        <w:rPr/>
        <w:t xml:space="preserve">Themes Categories and Codes</w:t>
      </w:r>
    </w:p>
    <w:tbl>
      <w:tblPr>
        <w:tblW w:w="10260" w:type="dxa"/>
        <w:tblLayout w:type="fixed"/>
        <w:tblBorders>
          <w:top w:val="single" w:sz="4" w:color="D9D9D9"/>
          <w:left w:val="single" w:sz="4" w:color="D9D9D9"/>
          <w:bottom w:val="single" w:sz="4" w:color="D9D9D9"/>
          <w:right w:val="single" w:sz="4" w:color="D9D9D9"/>
          <w:insideH w:val="single" w:sz="4" w:color="D9D9D9"/>
          <w:insideV w:val="single" w:sz="4" w:color="D9D9D9"/>
        </w:tblBorders>
        <w:tblCellMar>
          <w:top w:w="150" w:type="dxa"/>
          <w:bottom w:w="150" w:type="dxa"/>
          <w:left w:w="160" w:type="dxa"/>
          <w:right w:w="160" w:type="dxa"/>
        </w:tblCellMar>
      </w:tblPr>
      <w:tblGrid>
        <w:gridCol w:w="2800"/>
        <w:gridCol w:w="2800"/>
        <w:gridCol w:w="4660"/>
      </w:tblGrid>
      <w:tr>
        <w:trPr>
          <w:tblHeader/>
          <w:cantSplit/>
        </w:trPr>
        <w:tc>
          <w:tcPr>
            <w:tcW w:w="2800" w:type="dxa"/>
            <w:vAlign w:val="center"/>
            <w:shd w:fill="263746" w:val="clear"/>
          </w:tcPr>
          <w:p>
            <w:pPr>
              <w:spacing w:before="0" w:after="0" w:line="280" w:lineRule="auto"/>
              <w:keepNext/>
            </w:pPr>
            <w:r>
              <w:rPr>
                <w:sz w:val="21"/>
                <w:b/>
                <w:color w:val="FFFFFF"/>
                <w:rFonts w:ascii="Calibri" w:hAnsi="Calibri"/>
              </w:rPr>
              <w:t xml:space="preserve">Themes</w:t>
            </w:r>
          </w:p>
        </w:tc>
        <w:tc>
          <w:tcPr>
            <w:tcW w:w="2800" w:type="dxa"/>
            <w:vAlign w:val="center"/>
            <w:shd w:fill="263746" w:val="clear"/>
          </w:tcPr>
          <w:p>
            <w:pPr>
              <w:spacing w:before="0" w:after="0" w:line="280" w:lineRule="auto"/>
              <w:keepNext/>
            </w:pPr>
            <w:r>
              <w:rPr>
                <w:sz w:val="21"/>
                <w:b/>
                <w:color w:val="FFFFFF"/>
                <w:rFonts w:ascii="Calibri" w:hAnsi="Calibri"/>
              </w:rPr>
              <w:t xml:space="preserve">Categories</w:t>
            </w:r>
          </w:p>
        </w:tc>
        <w:tc>
          <w:tcPr>
            <w:tcW w:w="4660" w:type="dxa"/>
            <w:vAlign w:val="center"/>
            <w:shd w:fill="263746" w:val="clear"/>
          </w:tcPr>
          <w:p>
            <w:pPr>
              <w:spacing w:before="0" w:after="0" w:line="280" w:lineRule="auto"/>
              <w:keepNext/>
            </w:pPr>
            <w:r>
              <w:rPr>
                <w:sz w:val="21"/>
                <w:b/>
                <w:color w:val="FFFFFF"/>
                <w:rFonts w:ascii="Calibri" w:hAnsi="Calibri"/>
              </w:rPr>
              <w:t xml:space="preserve">Codes</w:t>
            </w:r>
          </w:p>
        </w:tc>
      </w:tr>
      <w:tr>
        <w:trPr>
          <w:cantSplit/>
        </w:trPr>
        <w:tc>
          <w:tcPr>
            <w:tcW w:w="2800" w:type="dxa"/>
            <w:vAlign w:val="center"/>
            <w:shd w:fill="FFFFFF" w:val="clear"/>
          </w:tcPr>
          <w:p>
            <w:pPr>
              <w:spacing w:before="0" w:after="0" w:line="280" w:lineRule="auto"/>
            </w:pPr>
            <w:r>
              <w:rPr>
                <w:sz w:val="21"/>
                <w:color w:val="000000"/>
                <w:rFonts w:ascii="Georgia" w:hAnsi="Georgia"/>
              </w:rPr>
              <w:t xml:space="preserve">materials</w:t>
            </w:r>
          </w:p>
        </w:tc>
        <w:tc>
          <w:tcPr>
            <w:tcW w:w="2800" w:type="dxa"/>
            <w:vAlign w:val="center"/>
            <w:shd w:fill="FFFFFF" w:val="clear"/>
          </w:tcPr>
          <w:p>
            <w:pPr>
              <w:spacing w:before="0" w:after="0" w:line="280" w:lineRule="auto"/>
            </w:pPr>
            <w:r>
              <w:rPr>
                <w:sz w:val="21"/>
                <w:color w:val="000000"/>
                <w:rFonts w:ascii="Georgia" w:hAnsi="Georgia"/>
              </w:rPr>
              <w:t xml:space="preserve">ancient manuscripts and early printed books</w:t>
            </w:r>
          </w:p>
        </w:tc>
        <w:tc>
          <w:tcPr>
            <w:tcW w:w="4660" w:type="dxa"/>
            <w:vAlign w:val="center"/>
            <w:shd w:fill="FFFFFF" w:val="clear"/>
          </w:tcPr>
          <w:p>
            <w:pPr>
              <w:spacing w:before="0" w:after="0" w:line="280" w:lineRule="auto"/>
            </w:pPr>
            <w:r>
              <w:rPr>
                <w:sz w:val="21"/>
                <w:color w:val="000000"/>
                <w:rFonts w:ascii="Georgia" w:hAnsi="Georgia"/>
              </w:rPr>
              <w:t xml:space="preserve">printed books and manuscripts from the Renaissance</w:t>
            </w:r>
          </w:p>
        </w:tc>
      </w:tr>
      <w:tr>
        <w:trPr>
          <w:cantSplit/>
        </w:trPr>
        <w:tc>
          <w:tcPr>
            <w:tcW w:w="2800" w:type="dxa"/>
            <w:vAlign w:val="center"/>
            <w:shd w:fill="F6F7F8" w:val="clear"/>
          </w:tcPr>
          <w:p>
            <w:pPr>
              <w:spacing w:before="0" w:after="0" w:line="280" w:lineRule="auto"/>
            </w:pPr>
            <w:r>
              <w:rPr>
                <w:sz w:val="21"/>
                <w:color w:val="000000"/>
                <w:rFonts w:ascii="Georgia" w:hAnsi="Georgia"/>
              </w:rPr>
              <w:t xml:space="preserve">materials</w:t>
            </w:r>
          </w:p>
        </w:tc>
        <w:tc>
          <w:tcPr>
            <w:tcW w:w="2800" w:type="dxa"/>
            <w:vAlign w:val="center"/>
            <w:shd w:fill="F6F7F8" w:val="clear"/>
          </w:tcPr>
          <w:p>
            <w:pPr>
              <w:spacing w:before="0" w:after="0" w:line="280" w:lineRule="auto"/>
            </w:pPr>
            <w:r>
              <w:rPr>
                <w:sz w:val="21"/>
                <w:color w:val="000000"/>
                <w:rFonts w:ascii="Georgia" w:hAnsi="Georgia"/>
              </w:rPr>
              <w:t xml:space="preserve">publications, modern and contemporary &gt; publications stemming from the project &gt; critical editions &gt; structure of a critical edition</w:t>
            </w:r>
          </w:p>
        </w:tc>
        <w:tc>
          <w:tcPr>
            <w:tcW w:w="4660" w:type="dxa"/>
            <w:vAlign w:val="center"/>
            <w:shd w:fill="F6F7F8" w:val="clear"/>
          </w:tcPr>
          <w:p>
            <w:pPr>
              <w:spacing w:before="0" w:after="0" w:line="280" w:lineRule="auto"/>
            </w:pPr>
            <w:r>
              <w:rPr>
                <w:sz w:val="21"/>
                <w:color w:val="000000"/>
                <w:rFonts w:ascii="Georgia" w:hAnsi="Georgia"/>
              </w:rPr>
              <w:t xml:space="preserve">critically-reconstructed text</w:t>
            </w:r>
          </w:p>
        </w:tc>
      </w:tr>
      <w:tr>
        <w:trPr>
          <w:cantSplit/>
        </w:trPr>
        <w:tc>
          <w:tcPr>
            <w:tcW w:w="2800" w:type="dxa"/>
            <w:vAlign w:val="center"/>
            <w:shd w:fill="FFFFFF" w:val="clear"/>
          </w:tcPr>
          <w:p>
            <w:pPr>
              <w:spacing w:before="0" w:after="0" w:line="280" w:lineRule="auto"/>
            </w:pPr>
            <w:r>
              <w:rPr>
                <w:sz w:val="21"/>
                <w:color w:val="000000"/>
                <w:rFonts w:ascii="Georgia" w:hAnsi="Georgia"/>
              </w:rPr>
              <w:t xml:space="preserve">materials</w:t>
            </w:r>
          </w:p>
        </w:tc>
        <w:tc>
          <w:tcPr>
            <w:tcW w:w="2800" w:type="dxa"/>
            <w:vAlign w:val="center"/>
            <w:shd w:fill="FFFFFF" w:val="clear"/>
          </w:tcPr>
          <w:p>
            <w:pPr>
              <w:spacing w:before="0" w:after="0" w:line="280" w:lineRule="auto"/>
            </w:pPr>
            <w:r>
              <w:rPr>
                <w:sz w:val="21"/>
                <w:color w:val="000000"/>
                <w:rFonts w:ascii="Georgia" w:hAnsi="Georgia"/>
              </w:rPr>
              <w:t xml:space="preserve">digital representations of cultural objects &gt; pros of using facsimiles and photographs</w:t>
            </w:r>
          </w:p>
        </w:tc>
        <w:tc>
          <w:tcPr>
            <w:tcW w:w="4660" w:type="dxa"/>
            <w:vAlign w:val="center"/>
            <w:shd w:fill="FFFFFF" w:val="clear"/>
          </w:tcPr>
          <w:p>
            <w:pPr>
              <w:spacing w:before="0" w:after="0" w:line="280" w:lineRule="auto"/>
            </w:pPr>
            <w:r>
              <w:rPr>
                <w:sz w:val="21"/>
                <w:color w:val="000000"/>
                <w:rFonts w:ascii="Georgia" w:hAnsi="Georgia"/>
              </w:rPr>
              <w:t xml:space="preserve">digitisation has changed the way of working on the documents</w:t>
            </w:r>
          </w:p>
        </w:tc>
      </w:tr>
    </w:tbl>
    <w:p/>
    <w:p>
      <w:pPr>
        <w:pStyle w:val="Heading2"/>
      </w:pPr>
      <w:r>
        <w:rPr/>
        <w:t xml:space="preserve">Narrative Analysis</w:t>
      </w:r>
    </w:p>
    <w:p>
      <w:pPr>
        <w:pStyle w:val="Normal"/>
      </w:pPr>
      <w:r>
        <w:rPr/>
        <w:t xml:space="preserve">The selected passages describe different forms of research material. Their saved paths place these distinctions inside the materials group. Read the exact quotations before judging how well each code fits. [E1] [E3] [E2]</w:t>
        <w:br/>
        <w:t xml:space="preserve">The five figures summarize all existing codings across the corpus. They support checking the record; they do not substitute for interpretation of the interviews.</w:t>
      </w:r>
    </w:p>
    <w:p>
      <w:pPr>
        <w:pStyle w:val="Heading3"/>
      </w:pPr>
      <w:r>
        <w:rPr/>
        <w:t xml:space="preserve">ancient manuscripts and early printed books</w:t>
      </w:r>
    </w:p>
    <w:p>
      <w:pPr>
        <w:pStyle w:val="Normal"/>
      </w:pPr>
      <w:r>
        <w:rPr/>
        <w:t xml:space="preserve">The saved code distinguishes a form of research material in this passage. [E1]</w:t>
      </w:r>
    </w:p>
    <w:p>
      <w:pPr>
        <w:pStyle w:val="Meta"/>
      </w:pPr>
      <w:r>
        <w:rPr/>
        <w:t xml:space="preserve">Table row 1 · Evidence E1</w:t>
      </w:r>
    </w:p>
    <w:p>
      <w:pPr>
        <w:pStyle w:val="Heading3"/>
      </w:pPr>
      <w:r>
        <w:rPr/>
        <w:t xml:space="preserve">publications, modern and contemporary &gt; publications stemming from the project &gt; critical editions &gt; structure of a critical edition</w:t>
      </w:r>
    </w:p>
    <w:p>
      <w:pPr>
        <w:pStyle w:val="Normal"/>
      </w:pPr>
      <w:r>
        <w:rPr/>
        <w:t xml:space="preserve">The saved code distinguishes a form of research material in this passage. [E3]</w:t>
      </w:r>
    </w:p>
    <w:p>
      <w:pPr>
        <w:pStyle w:val="Meta"/>
      </w:pPr>
      <w:r>
        <w:rPr/>
        <w:t xml:space="preserve">Table row 2 · Evidence E3</w:t>
      </w:r>
    </w:p>
    <w:p>
      <w:pPr>
        <w:pStyle w:val="Heading3"/>
      </w:pPr>
      <w:r>
        <w:rPr/>
        <w:t xml:space="preserve">digital representations of cultural objects &gt; pros of using facsimiles and photographs</w:t>
      </w:r>
    </w:p>
    <w:p>
      <w:pPr>
        <w:pStyle w:val="Normal"/>
      </w:pPr>
      <w:r>
        <w:rPr/>
        <w:t xml:space="preserve">The saved code distinguishes a form of research material in this passage. [E2]</w:t>
      </w:r>
    </w:p>
    <w:p>
      <w:pPr>
        <w:pStyle w:val="Meta"/>
      </w:pPr>
      <w:r>
        <w:rPr/>
        <w:t xml:space="preserve">Table row 3 · Evidence E2</w:t>
      </w:r>
    </w:p>
    <w:p>
      <w:pPr>
        <w:pStyle w:val="Heading1"/>
        <w:pageBreakBefore/>
      </w:pPr>
      <w:r>
        <w:rPr/>
        <w:t xml:space="preserve">Review and limitations</w:t>
      </w:r>
    </w:p>
    <w:p>
      <w:pPr>
        <w:pStyle w:val="Heading2"/>
      </w:pPr>
      <w:r>
        <w:rPr/>
        <w:t xml:space="preserve">Counterexamples and variation</w:t>
      </w:r>
    </w:p>
    <w:p>
      <w:pPr>
        <w:pStyle w:val="Normal"/>
      </w:pPr>
      <w:r>
        <w:rPr/>
        <w:t xml:space="preserve">Only selected material-related passages are interpreted here. Contrasting perspectives across the other interviews require further contextual reading.</w:t>
      </w:r>
    </w:p>
    <w:p>
      <w:pPr>
        <w:pStyle w:val="Heading2"/>
      </w:pPr>
      <w:r>
        <w:rPr/>
        <w:t xml:space="preserve">Limitations</w:t>
      </w:r>
    </w:p>
    <w:p>
      <w:pPr>
        <w:pStyle w:val="Normal"/>
      </w:pPr>
      <w:r>
        <w:rPr/>
        <w:t xml:space="preserve">This small writing example does not establish a complete analysis or saturation. Counts describe saved coding activity rather than importance or prevalence among people.</w:t>
      </w:r>
    </w:p>
    <w:p>
      <w:pPr>
        <w:pStyle w:val="Heading2"/>
      </w:pPr>
      <w:r>
        <w:rPr/>
        <w:t xml:space="preserve">Reflexivity</w:t>
      </w:r>
    </w:p>
    <w:p>
      <w:pPr>
        <w:pStyle w:val="Normal"/>
      </w:pPr>
      <w:r>
        <w:rPr/>
        <w:t xml:space="preserve">The short illustrative narrative was prepared for the QT demonstration. It is not an independently validated analysis of this corpus.</w:t>
      </w:r>
    </w:p>
    <w:p>
      <w:pPr>
        <w:pStyle w:val="Heading2"/>
      </w:pPr>
      <w:r>
        <w:rPr/>
        <w:t xml:space="preserve">Quality and review</w:t>
      </w:r>
    </w:p>
    <w:p>
      <w:pPr>
        <w:pStyle w:val="Normal"/>
      </w:pPr>
      <w:r>
        <w:rPr/>
        <w:t xml:space="preserve">Quoted characters and code identities were checked against the saved source. All five figures use the complete original 19-document coding record and their existing counting rules.</w:t>
      </w:r>
    </w:p>
    <w:p>
      <w:pPr>
        <w:pStyle w:val="Heading2"/>
      </w:pPr>
      <w:r>
        <w:rPr/>
        <w:t xml:space="preserve">Research and assistance disclosure</w:t>
      </w:r>
    </w:p>
    <w:p>
      <w:pPr>
        <w:pStyle w:val="Normal"/>
      </w:pPr>
      <w:r>
        <w:rPr/>
        <w:t xml:space="preserve">Public Bologna CC0 data only. No private interviews or model calls were used. Editing the downloaded Word documents does not change the QT project.</w:t>
      </w:r>
    </w:p>
    <w:p>
      <w:pPr>
        <w:pStyle w:val="Heading1"/>
        <w:pageBreakBefore/>
      </w:pPr>
      <w:r>
        <w:rPr/>
        <w:t xml:space="preserve">Figures</w:t>
      </w:r>
    </w:p>
    <w:p>
      <w:pPr>
        <w:pStyle w:val="Heading2"/>
      </w:pPr>
      <w:r>
        <w:rPr/>
        <w:t xml:space="preserve">Figure 1</w:t>
      </w:r>
    </w:p>
    <w:p>
      <w:pPr>
        <w:spacing w:before="0" w:after="120" w:line="240" w:lineRule="auto"/>
        <w:jc w:val="center"/>
        <w:keepLines/>
        <w:keepNext/>
      </w:pPr>
      <w:r>
        <w:drawing>
          <wp:inline>
            <wp:extent cx="6126480" cy="5347054"/>
            <wp:docPr id="1001" name="Code frequency" descr="Code frequency"/>
            <a:graphic>
              <a:graphicData uri="http://schemas.openxmlformats.org/drawingml/2006/picture">
                <pic:pic>
                  <pic:nvPicPr>
                    <pic:cNvPr id="1001" name="imageec03e8690f56e2901daa6d50.png"/>
                    <pic:cNvPicPr/>
                  </pic:nvPicPr>
                  <pic:blipFill>
                    <a:blip r:embed="imageec03e8690f56e2901daa6d50"/>
                    <a:stretch>
                      <a:fillRect/>
                    </a:stretch>
                  </pic:blipFill>
                  <pic:spPr>
                    <a:xfrm>
                      <a:off x="0" y="0"/>
                      <a:ext cx="6126480" cy="5347054"/>
                    </a:xfrm>
                    <a:prstGeom prst="rect">
                      <a:avLst/>
                    </a:prstGeom>
                  </pic:spPr>
                </pic:pic>
              </a:graphicData>
            </a:graphic>
          </wp:inline>
        </w:drawing>
      </w:r>
    </w:p>
    <w:p>
      <w:pPr>
        <w:pStyle w:val="FigureCaption"/>
        <w:keepNext/>
      </w:pPr>
      <w:r>
        <w:rPr/>
      </w:r>
      <w:r>
        <w:rPr>
          <w:b/>
        </w:rPr>
        <w:t xml:space="preserve">Code frequency. </w:t>
      </w:r>
      <w:r>
        <w:rPr/>
        <w:t xml:space="preserve">Code frequency from the original saved coding record.</w:t>
      </w:r>
    </w:p>
    <w:p>
      <w:pPr>
        <w:pStyle w:val="Meta"/>
      </w:pPr>
      <w:r>
        <w:rPr/>
        <w:t xml:space="preserve">Counts passage-code assignments, not participants. Frequency is not importance.</w:t>
      </w:r>
    </w:p>
    <w:p>
      <w:pPr>
        <w:pStyle w:val="Heading2"/>
        <w:pageBreakBefore/>
      </w:pPr>
      <w:r>
        <w:rPr/>
        <w:t xml:space="preserve">Figure 2</w:t>
      </w:r>
    </w:p>
    <w:p>
      <w:pPr>
        <w:spacing w:before="0" w:after="120" w:line="240" w:lineRule="auto"/>
        <w:jc w:val="center"/>
        <w:keepLines/>
        <w:keepNext/>
      </w:pPr>
      <w:r>
        <w:drawing>
          <wp:inline>
            <wp:extent cx="6126480" cy="5054773"/>
            <wp:docPr id="2001" name="Code-by-interview matrix" descr="Code-by-interview matrix"/>
            <a:graphic>
              <a:graphicData uri="http://schemas.openxmlformats.org/drawingml/2006/picture">
                <pic:pic>
                  <pic:nvPicPr>
                    <pic:cNvPr id="2001" name="image236d1bb6754b5bc36f61349f.png"/>
                    <pic:cNvPicPr/>
                  </pic:nvPicPr>
                  <pic:blipFill>
                    <a:blip r:embed="image236d1bb6754b5bc36f61349f"/>
                    <a:stretch>
                      <a:fillRect/>
                    </a:stretch>
                  </pic:blipFill>
                  <pic:spPr>
                    <a:xfrm>
                      <a:off x="0" y="0"/>
                      <a:ext cx="6126480" cy="5054773"/>
                    </a:xfrm>
                    <a:prstGeom prst="rect">
                      <a:avLst/>
                    </a:prstGeom>
                  </pic:spPr>
                </pic:pic>
              </a:graphicData>
            </a:graphic>
          </wp:inline>
        </w:drawing>
      </w:r>
    </w:p>
    <w:p>
      <w:pPr>
        <w:pStyle w:val="FigureCaption"/>
        <w:keepNext/>
      </w:pPr>
      <w:r>
        <w:rPr/>
      </w:r>
      <w:r>
        <w:rPr>
          <w:b/>
        </w:rPr>
        <w:t xml:space="preserve">Code-by-interview matrix. </w:t>
      </w:r>
      <w:r>
        <w:rPr/>
        <w:t xml:space="preserve">Code by interview from the original saved coding record.</w:t>
      </w:r>
    </w:p>
    <w:p>
      <w:pPr>
        <w:pStyle w:val="Meta"/>
      </w:pPr>
      <w:r>
        <w:rPr/>
        <w:t xml:space="preserve">Counts passage-code assignments, not participants. Zero means no coding in this interview.</w:t>
      </w:r>
    </w:p>
    <w:p>
      <w:pPr>
        <w:pStyle w:val="Heading2"/>
        <w:pageBreakBefore/>
      </w:pPr>
      <w:r>
        <w:rPr/>
        <w:t xml:space="preserve">Figure 3</w:t>
      </w:r>
    </w:p>
    <w:p>
      <w:pPr>
        <w:spacing w:before="0" w:after="120" w:line="240" w:lineRule="auto"/>
        <w:jc w:val="center"/>
        <w:keepLines/>
        <w:keepNext/>
      </w:pPr>
      <w:r>
        <w:drawing>
          <wp:inline>
            <wp:extent cx="5551693" cy="5486400"/>
            <wp:docPr id="3001" name="Overlapping-range co-occurrence" descr="Overlapping-range co-occurrence"/>
            <a:graphic>
              <a:graphicData uri="http://schemas.openxmlformats.org/drawingml/2006/picture">
                <pic:pic>
                  <pic:nvPicPr>
                    <pic:cNvPr id="3001" name="image9e0854f89c534e3ad137b9e6.png"/>
                    <pic:cNvPicPr/>
                  </pic:nvPicPr>
                  <pic:blipFill>
                    <a:blip r:embed="image9e0854f89c534e3ad137b9e6"/>
                    <a:stretch>
                      <a:fillRect/>
                    </a:stretch>
                  </pic:blipFill>
                  <pic:spPr>
                    <a:xfrm>
                      <a:off x="0" y="0"/>
                      <a:ext cx="5551693" cy="5486400"/>
                    </a:xfrm>
                    <a:prstGeom prst="rect">
                      <a:avLst/>
                    </a:prstGeom>
                  </pic:spPr>
                </pic:pic>
              </a:graphicData>
            </a:graphic>
          </wp:inline>
        </w:drawing>
      </w:r>
    </w:p>
    <w:p>
      <w:pPr>
        <w:pStyle w:val="FigureCaption"/>
        <w:keepNext/>
      </w:pPr>
      <w:r>
        <w:rPr/>
      </w:r>
      <w:r>
        <w:rPr>
          <w:b/>
        </w:rPr>
        <w:t xml:space="preserve">Overlapping-range co-occurrence. </w:t>
      </w:r>
      <w:r>
        <w:rPr/>
        <w:t xml:space="preserve">Code co-occurrence from the original saved coding record.</w:t>
      </w:r>
    </w:p>
    <w:p>
      <w:pPr>
        <w:pStyle w:val="Meta"/>
      </w:pPr>
      <w:r>
        <w:rPr/>
        <w:t xml:space="preserve">Codes whose character ranges overlap within one interview. Descriptive; not correlation. Diagonal counts the units a code appears in, not pairs.</w:t>
      </w:r>
    </w:p>
    <w:p>
      <w:pPr>
        <w:pStyle w:val="Heading2"/>
        <w:pageBreakBefore/>
      </w:pPr>
      <w:r>
        <w:rPr/>
        <w:t xml:space="preserve">Figure 4 · view 1 of 5</w:t>
      </w:r>
    </w:p>
    <w:p>
      <w:pPr>
        <w:spacing w:before="0" w:after="120" w:line="240" w:lineRule="auto"/>
        <w:jc w:val="center"/>
        <w:keepLines/>
        <w:keepNext/>
      </w:pPr>
      <w:r>
        <w:drawing>
          <wp:inline>
            <wp:extent cx="6126480" cy="5428600"/>
            <wp:docPr id="4001" name="Themes and named subthemes" descr="Themes and named subthemes"/>
            <a:graphic>
              <a:graphicData uri="http://schemas.openxmlformats.org/drawingml/2006/picture">
                <pic:pic>
                  <pic:nvPicPr>
                    <pic:cNvPr id="4001" name="image3a4b897638fff480327fd049.png"/>
                    <pic:cNvPicPr/>
                  </pic:nvPicPr>
                  <pic:blipFill>
                    <a:blip r:embed="image3a4b897638fff480327fd049"/>
                    <a:srcRect t="0" b="80021"/>
                    <a:stretch>
                      <a:fillRect/>
                    </a:stretch>
                  </pic:blipFill>
                  <pic:spPr>
                    <a:xfrm>
                      <a:off x="0" y="0"/>
                      <a:ext cx="6126480" cy="5428600"/>
                    </a:xfrm>
                    <a:prstGeom prst="rect">
                      <a:avLst/>
                    </a:prstGeom>
                  </pic:spPr>
                </pic:pic>
              </a:graphicData>
            </a:graphic>
          </wp:inline>
        </w:drawing>
      </w:r>
    </w:p>
    <w:p>
      <w:pPr>
        <w:pStyle w:val="FigureCaption"/>
        <w:keepNext/>
      </w:pPr>
      <w:r>
        <w:rPr/>
      </w:r>
      <w:r>
        <w:rPr>
          <w:b/>
        </w:rPr>
        <w:t xml:space="preserve">Themes and named subthemes. </w:t>
      </w:r>
      <w:r>
        <w:rPr/>
        <w:t xml:space="preserve">Theme hierarchy from the original saved coding record.</w:t>
      </w:r>
    </w:p>
    <w:p>
      <w:pPr>
        <w:pStyle w:val="Meta"/>
      </w:pPr>
      <w:r>
        <w:rPr/>
        <w:t xml:space="preserve">Counts coded extracts per section and subsection, not participants.</w:t>
      </w:r>
    </w:p>
    <w:p>
      <w:pPr>
        <w:pStyle w:val="Meta"/>
      </w:pPr>
      <w:r>
        <w:rPr/>
        <w:t xml:space="preserve">Unchanged original · continuous view 1 of 5. Complete SVG, PDF and PNG are in the report ZIP.</w:t>
      </w:r>
    </w:p>
    <w:p>
      <w:pPr>
        <w:pStyle w:val="Heading2"/>
        <w:pageBreakBefore/>
      </w:pPr>
      <w:r>
        <w:rPr/>
        <w:t xml:space="preserve">Figure 4 · view 2 of 5</w:t>
      </w:r>
    </w:p>
    <w:p>
      <w:pPr>
        <w:spacing w:before="0" w:after="120" w:line="240" w:lineRule="auto"/>
        <w:jc w:val="center"/>
        <w:keepLines/>
        <w:keepNext/>
      </w:pPr>
      <w:r>
        <w:drawing>
          <wp:inline>
            <wp:extent cx="6126480" cy="5441099"/>
            <wp:docPr id="4002" name="Themes and named subthemes" descr="Themes and named subthemes"/>
            <a:graphic>
              <a:graphicData uri="http://schemas.openxmlformats.org/drawingml/2006/picture">
                <pic:pic>
                  <pic:nvPicPr>
                    <pic:cNvPr id="4002" name="image3a4b897638fff480327fd049.png"/>
                    <pic:cNvPicPr/>
                  </pic:nvPicPr>
                  <pic:blipFill>
                    <a:blip r:embed="image3a4b897638fff480327fd049"/>
                    <a:srcRect t="19979" b="59996"/>
                    <a:stretch>
                      <a:fillRect/>
                    </a:stretch>
                  </pic:blipFill>
                  <pic:spPr>
                    <a:xfrm>
                      <a:off x="0" y="0"/>
                      <a:ext cx="6126480" cy="5441099"/>
                    </a:xfrm>
                    <a:prstGeom prst="rect">
                      <a:avLst/>
                    </a:prstGeom>
                  </pic:spPr>
                </pic:pic>
              </a:graphicData>
            </a:graphic>
          </wp:inline>
        </w:drawing>
      </w:r>
    </w:p>
    <w:p>
      <w:pPr>
        <w:pStyle w:val="FigureCaption"/>
        <w:keepNext/>
      </w:pPr>
      <w:r>
        <w:rPr/>
      </w:r>
      <w:r>
        <w:rPr>
          <w:b/>
        </w:rPr>
        <w:t xml:space="preserve">Themes and named subthemes. </w:t>
      </w:r>
      <w:r>
        <w:rPr/>
        <w:t xml:space="preserve">Theme hierarchy from the original saved coding record.</w:t>
      </w:r>
    </w:p>
    <w:p>
      <w:pPr>
        <w:pStyle w:val="Meta"/>
      </w:pPr>
      <w:r>
        <w:rPr/>
        <w:t xml:space="preserve">Counts coded extracts per section and subsection, not participants.</w:t>
      </w:r>
    </w:p>
    <w:p>
      <w:pPr>
        <w:pStyle w:val="Meta"/>
      </w:pPr>
      <w:r>
        <w:rPr/>
        <w:t xml:space="preserve">Unchanged original · continuous view 2 of 5. Complete SVG, PDF and PNG are in the report ZIP.</w:t>
      </w:r>
    </w:p>
    <w:p>
      <w:pPr>
        <w:pStyle w:val="Heading2"/>
        <w:pageBreakBefore/>
      </w:pPr>
      <w:r>
        <w:rPr/>
        <w:t xml:space="preserve">Figure 4 · view 3 of 5</w:t>
      </w:r>
    </w:p>
    <w:p>
      <w:pPr>
        <w:spacing w:before="0" w:after="120" w:line="240" w:lineRule="auto"/>
        <w:jc w:val="center"/>
        <w:keepLines/>
        <w:keepNext/>
      </w:pPr>
      <w:r>
        <w:drawing>
          <wp:inline>
            <wp:extent cx="6126480" cy="5448164"/>
            <wp:docPr id="4003" name="Themes and named subthemes" descr="Themes and named subthemes"/>
            <a:graphic>
              <a:graphicData uri="http://schemas.openxmlformats.org/drawingml/2006/picture">
                <pic:pic>
                  <pic:nvPicPr>
                    <pic:cNvPr id="4003" name="image3a4b897638fff480327fd049.png"/>
                    <pic:cNvPicPr/>
                  </pic:nvPicPr>
                  <pic:blipFill>
                    <a:blip r:embed="image3a4b897638fff480327fd049"/>
                    <a:srcRect t="40004" b="39945"/>
                    <a:stretch>
                      <a:fillRect/>
                    </a:stretch>
                  </pic:blipFill>
                  <pic:spPr>
                    <a:xfrm>
                      <a:off x="0" y="0"/>
                      <a:ext cx="6126480" cy="5448164"/>
                    </a:xfrm>
                    <a:prstGeom prst="rect">
                      <a:avLst/>
                    </a:prstGeom>
                  </pic:spPr>
                </pic:pic>
              </a:graphicData>
            </a:graphic>
          </wp:inline>
        </w:drawing>
      </w:r>
    </w:p>
    <w:p>
      <w:pPr>
        <w:pStyle w:val="FigureCaption"/>
        <w:keepNext/>
      </w:pPr>
      <w:r>
        <w:rPr/>
      </w:r>
      <w:r>
        <w:rPr>
          <w:b/>
        </w:rPr>
        <w:t xml:space="preserve">Themes and named subthemes. </w:t>
      </w:r>
      <w:r>
        <w:rPr/>
        <w:t xml:space="preserve">Theme hierarchy from the original saved coding record.</w:t>
      </w:r>
    </w:p>
    <w:p>
      <w:pPr>
        <w:pStyle w:val="Meta"/>
      </w:pPr>
      <w:r>
        <w:rPr/>
        <w:t xml:space="preserve">Counts coded extracts per section and subsection, not participants.</w:t>
      </w:r>
    </w:p>
    <w:p>
      <w:pPr>
        <w:pStyle w:val="Meta"/>
      </w:pPr>
      <w:r>
        <w:rPr/>
        <w:t xml:space="preserve">Unchanged original · continuous view 3 of 5. Complete SVG, PDF and PNG are in the report ZIP.</w:t>
      </w:r>
    </w:p>
    <w:p>
      <w:pPr>
        <w:pStyle w:val="Heading2"/>
        <w:pageBreakBefore/>
      </w:pPr>
      <w:r>
        <w:rPr/>
        <w:t xml:space="preserve">Figure 4 · view 4 of 5</w:t>
      </w:r>
    </w:p>
    <w:p>
      <w:pPr>
        <w:spacing w:before="0" w:after="120" w:line="240" w:lineRule="auto"/>
        <w:jc w:val="center"/>
        <w:keepLines/>
        <w:keepNext/>
      </w:pPr>
      <w:r>
        <w:drawing>
          <wp:inline>
            <wp:extent cx="6126480" cy="5451696"/>
            <wp:docPr id="4004" name="Themes and named subthemes" descr="Themes and named subthemes"/>
            <a:graphic>
              <a:graphicData uri="http://schemas.openxmlformats.org/drawingml/2006/picture">
                <pic:pic>
                  <pic:nvPicPr>
                    <pic:cNvPr id="4004" name="image3a4b897638fff480327fd049.png"/>
                    <pic:cNvPicPr/>
                  </pic:nvPicPr>
                  <pic:blipFill>
                    <a:blip r:embed="image3a4b897638fff480327fd049"/>
                    <a:srcRect t="60055" b="19881"/>
                    <a:stretch>
                      <a:fillRect/>
                    </a:stretch>
                  </pic:blipFill>
                  <pic:spPr>
                    <a:xfrm>
                      <a:off x="0" y="0"/>
                      <a:ext cx="6126480" cy="5451696"/>
                    </a:xfrm>
                    <a:prstGeom prst="rect">
                      <a:avLst/>
                    </a:prstGeom>
                  </pic:spPr>
                </pic:pic>
              </a:graphicData>
            </a:graphic>
          </wp:inline>
        </w:drawing>
      </w:r>
    </w:p>
    <w:p>
      <w:pPr>
        <w:pStyle w:val="FigureCaption"/>
        <w:keepNext/>
      </w:pPr>
      <w:r>
        <w:rPr/>
      </w:r>
      <w:r>
        <w:rPr>
          <w:b/>
        </w:rPr>
        <w:t xml:space="preserve">Themes and named subthemes. </w:t>
      </w:r>
      <w:r>
        <w:rPr/>
        <w:t xml:space="preserve">Theme hierarchy from the original saved coding record.</w:t>
      </w:r>
    </w:p>
    <w:p>
      <w:pPr>
        <w:pStyle w:val="Meta"/>
      </w:pPr>
      <w:r>
        <w:rPr/>
        <w:t xml:space="preserve">Counts coded extracts per section and subsection, not participants.</w:t>
      </w:r>
    </w:p>
    <w:p>
      <w:pPr>
        <w:pStyle w:val="Meta"/>
      </w:pPr>
      <w:r>
        <w:rPr/>
        <w:t xml:space="preserve">Unchanged original · continuous view 4 of 5. Complete SVG, PDF and PNG are in the report ZIP.</w:t>
      </w:r>
    </w:p>
    <w:p>
      <w:pPr>
        <w:pStyle w:val="Heading2"/>
        <w:pageBreakBefore/>
      </w:pPr>
      <w:r>
        <w:rPr/>
        <w:t xml:space="preserve">Figure 4 · view 5 of 5</w:t>
      </w:r>
    </w:p>
    <w:p>
      <w:pPr>
        <w:spacing w:before="0" w:after="120" w:line="240" w:lineRule="auto"/>
        <w:jc w:val="center"/>
        <w:keepLines/>
        <w:keepNext/>
      </w:pPr>
      <w:r>
        <w:drawing>
          <wp:inline>
            <wp:extent cx="6126480" cy="5401972"/>
            <wp:docPr id="4005" name="Themes and named subthemes" descr="Themes and named subthemes"/>
            <a:graphic>
              <a:graphicData uri="http://schemas.openxmlformats.org/drawingml/2006/picture">
                <pic:pic>
                  <pic:nvPicPr>
                    <pic:cNvPr id="4005" name="image3a4b897638fff480327fd049.png"/>
                    <pic:cNvPicPr/>
                  </pic:nvPicPr>
                  <pic:blipFill>
                    <a:blip r:embed="image3a4b897638fff480327fd049"/>
                    <a:srcRect t="80119" b="0"/>
                    <a:stretch>
                      <a:fillRect/>
                    </a:stretch>
                  </pic:blipFill>
                  <pic:spPr>
                    <a:xfrm>
                      <a:off x="0" y="0"/>
                      <a:ext cx="6126480" cy="5401972"/>
                    </a:xfrm>
                    <a:prstGeom prst="rect">
                      <a:avLst/>
                    </a:prstGeom>
                  </pic:spPr>
                </pic:pic>
              </a:graphicData>
            </a:graphic>
          </wp:inline>
        </w:drawing>
      </w:r>
    </w:p>
    <w:p>
      <w:pPr>
        <w:pStyle w:val="FigureCaption"/>
        <w:keepNext/>
      </w:pPr>
      <w:r>
        <w:rPr/>
      </w:r>
      <w:r>
        <w:rPr>
          <w:b/>
        </w:rPr>
        <w:t xml:space="preserve">Themes and named subthemes. </w:t>
      </w:r>
      <w:r>
        <w:rPr/>
        <w:t xml:space="preserve">Theme hierarchy from the original saved coding record.</w:t>
      </w:r>
    </w:p>
    <w:p>
      <w:pPr>
        <w:pStyle w:val="Meta"/>
      </w:pPr>
      <w:r>
        <w:rPr/>
        <w:t xml:space="preserve">Counts coded extracts per section and subsection, not participants.</w:t>
      </w:r>
    </w:p>
    <w:p>
      <w:pPr>
        <w:pStyle w:val="Meta"/>
      </w:pPr>
      <w:r>
        <w:rPr/>
        <w:t xml:space="preserve">Unchanged original · continuous view 5 of 5. Complete SVG, PDF and PNG are in the report ZIP.</w:t>
      </w:r>
    </w:p>
    <w:p>
      <w:pPr>
        <w:pStyle w:val="Heading2"/>
        <w:pageBreakBefore/>
      </w:pPr>
      <w:r>
        <w:rPr/>
        <w:t xml:space="preserve">Figure 5</w:t>
      </w:r>
    </w:p>
    <w:p>
      <w:pPr>
        <w:spacing w:before="0" w:after="120" w:line="240" w:lineRule="auto"/>
        <w:jc w:val="center"/>
        <w:keepLines/>
        <w:keepNext/>
      </w:pPr>
      <w:r>
        <w:drawing>
          <wp:inline>
            <wp:extent cx="6126480" cy="3838427"/>
            <wp:docPr id="5001" name="Code accumulation curve" descr="Code accumulation curve"/>
            <a:graphic>
              <a:graphicData uri="http://schemas.openxmlformats.org/drawingml/2006/picture">
                <pic:pic>
                  <pic:nvPicPr>
                    <pic:cNvPr id="5001" name="image9bb0851eddee6d552dfc2d0d.png"/>
                    <pic:cNvPicPr/>
                  </pic:nvPicPr>
                  <pic:blipFill>
                    <a:blip r:embed="image9bb0851eddee6d552dfc2d0d"/>
                    <a:stretch>
                      <a:fillRect/>
                    </a:stretch>
                  </pic:blipFill>
                  <pic:spPr>
                    <a:xfrm>
                      <a:off x="0" y="0"/>
                      <a:ext cx="6126480" cy="3838427"/>
                    </a:xfrm>
                    <a:prstGeom prst="rect">
                      <a:avLst/>
                    </a:prstGeom>
                  </pic:spPr>
                </pic:pic>
              </a:graphicData>
            </a:graphic>
          </wp:inline>
        </w:drawing>
      </w:r>
    </w:p>
    <w:p>
      <w:pPr>
        <w:pStyle w:val="FigureCaption"/>
        <w:keepNext/>
      </w:pPr>
      <w:r>
        <w:rPr/>
      </w:r>
      <w:r>
        <w:rPr>
          <w:b/>
        </w:rPr>
        <w:t xml:space="preserve">Code accumulation curve. </w:t>
      </w:r>
      <w:r>
        <w:rPr/>
        <w:t xml:space="preserve">Code accumulation from the original saved coding record.</w:t>
      </w:r>
    </w:p>
    <w:p>
      <w:pPr>
        <w:pStyle w:val="Meta"/>
      </w:pPr>
      <w:r>
        <w:rPr/>
        <w:t xml:space="preserve">Interviews in file-name order, not the order conducted. A plateau is not saturation.</w:t>
      </w:r>
    </w:p>
    <w:p>
      <w:pPr>
        <w:pStyle w:val="Heading1"/>
        <w:pageBreakBefore/>
      </w:pPr>
      <w:r>
        <w:rPr/>
        <w:t xml:space="preserve">Evidence appendix</w:t>
      </w:r>
    </w:p>
    <w:p>
      <w:pPr>
        <w:pStyle w:val="ChapterNote"/>
      </w:pPr>
      <w:r>
        <w:rPr/>
        <w:t xml:space="preserve">Verbatim quotations are italic. The E references connect them to the findings.</w:t>
      </w:r>
    </w:p>
    <w:p>
      <w:pPr>
        <w:pStyle w:val="Heading2"/>
      </w:pPr>
      <w:r>
        <w:rPr/>
        <w:t xml:space="preserve">E1 interview02.txt</w:t>
      </w:r>
    </w:p>
    <w:p>
      <w:pPr>
        <w:pStyle w:val="EvidenceQuote"/>
        <w:keepNext/>
      </w:pPr>
      <w:r>
        <w:rPr/>
        <w:t xml:space="preserve">Quindi noi abbiamo lavorato, per passare al metodo, sulla stampa diciamo su due stampe, </w:t>
      </w:r>
    </w:p>
    <w:p>
      <w:pPr>
        <w:pStyle w:val="Meta"/>
      </w:pPr>
      <w:r>
        <w:rPr/>
        <w:t xml:space="preserve">interview02.txt · [872, 960)</w:t>
      </w:r>
    </w:p>
    <w:p>
      <w:pPr>
        <w:pStyle w:val="Heading2"/>
      </w:pPr>
      <w:r>
        <w:rPr/>
        <w:t xml:space="preserve">E2 interview02.txt</w:t>
      </w:r>
    </w:p>
    <w:p>
      <w:pPr>
        <w:pStyle w:val="EvidenceQuote"/>
        <w:keepNext/>
      </w:pPr>
      <w:r>
        <w:rPr/>
        <w:t xml:space="preserve">Questa rappresenta [una novità], rispetto a quando ho iniziato a fare ricerca di questo tipo, quindici anni fa ovviamente sarei dovuto andare in biblioteca, invece adesso una è stata digitalizzata da Google Libri e invece quella del 1502 abbiamo utilizzato la stampa digitalizzata dalla Staats Bibliotek di Monaco di Baviera, che è un repositore di stampe antiche eccezione, il 70% di quello che cerchiamo tra incunaboli e libri stampati di fine Quattrocento e cinquecentine lo si trova. </w:t>
      </w:r>
    </w:p>
    <w:p>
      <w:pPr>
        <w:pStyle w:val="Meta"/>
      </w:pPr>
      <w:r>
        <w:rPr/>
        <w:t xml:space="preserve">interview02.txt · [2860, 3348)</w:t>
      </w:r>
    </w:p>
    <w:p>
      <w:pPr>
        <w:pStyle w:val="Heading2"/>
      </w:pPr>
      <w:r>
        <w:rPr/>
        <w:t xml:space="preserve">E3 interview02.txt</w:t>
      </w:r>
    </w:p>
    <w:p>
      <w:pPr>
        <w:pStyle w:val="EvidenceQuote"/>
        <w:keepNext/>
      </w:pPr>
      <w:r>
        <w:rPr/>
        <w:t xml:space="preserve">e a volte ci sono degli errori che vanno sanati nel testo latino o ci sono delle cose che non si comprendono. A volte ci sono delle lacune perché qualcosa è saltato nel processo di stampa, dal manoscritto alla stampa, e quindi bisogna ripristinarlo criticamente con l’aiuto di due stampe, </w:t>
      </w:r>
    </w:p>
    <w:p>
      <w:pPr>
        <w:pStyle w:val="Meta"/>
      </w:pPr>
      <w:r>
        <w:rPr/>
        <w:t xml:space="preserve">interview02.txt · [1177, 1466)</w:t>
      </w:r>
    </w:p>
    <w:p>
      <w:pPr>
        <w:pStyle w:val="Heading1"/>
        <w:pageBreakBefore/>
      </w:pPr>
      <w:r>
        <w:rPr/>
        <w:t xml:space="preserve">Review record</w:t>
      </w:r>
    </w:p>
    <w:p>
      <w:pPr>
        <w:pStyle w:val="Heading2"/>
      </w:pPr>
      <w:r>
        <w:rPr/>
        <w:t xml:space="preserve">Researcher confirmations</w:t>
      </w:r>
    </w:p>
    <w:p>
      <w:pPr>
        <w:pStyle w:val="Meta"/>
      </w:pPr>
      <w:r>
        <w:rPr/>
        <w:t xml:space="preserve">Units · confirmed</w:t>
      </w:r>
    </w:p>
    <w:p>
      <w:pPr>
        <w:pStyle w:val="Meta"/>
      </w:pPr>
      <w:r>
        <w:rPr/>
        <w:t xml:space="preserve">Coding rules · not confirmed</w:t>
      </w:r>
    </w:p>
    <w:p>
      <w:pPr>
        <w:pStyle w:val="Meta"/>
      </w:pPr>
      <w:r>
        <w:rPr/>
        <w:t xml:space="preserve">Category development · not confirmed</w:t>
      </w:r>
    </w:p>
    <w:p>
      <w:pPr>
        <w:pStyle w:val="Meta"/>
      </w:pPr>
      <w:r>
        <w:rPr/>
        <w:t xml:space="preserve">Category review · not confirmed</w:t>
      </w:r>
    </w:p>
    <w:p>
      <w:pPr>
        <w:pStyle w:val="Meta"/>
      </w:pPr>
      <w:r>
        <w:rPr/>
        <w:t xml:space="preserve">Context · not confirmed</w:t>
      </w:r>
    </w:p>
    <w:p>
      <w:pPr>
        <w:pStyle w:val="Meta"/>
      </w:pPr>
      <w:r>
        <w:rPr/>
        <w:t xml:space="preserve">Writing · not confirmed</w:t>
      </w:r>
    </w:p>
    <w:p>
      <w:pPr>
        <w:pStyle w:val="Heading2"/>
      </w:pPr>
      <w:r>
        <w:rPr/>
        <w:t xml:space="preserve">Evidence identity</w:t>
      </w:r>
    </w:p>
    <w:p>
      <w:pPr>
        <w:pStyle w:val="Meta"/>
      </w:pPr>
      <w:r>
        <w:rPr/>
        <w:t xml:space="preserve">Report 73509d4bf968476e85b590022a2020fe</w:t>
        <w:br/>
        <w:t xml:space="preserve">Content SHA256 e9cbc41f4b971a70b15a0b46e0db94fad3e5b836f46840d54067af05d88cf040</w:t>
        <w:br/>
        <w:t xml:space="preserve">Evidence SHA256 c41fb0c1685d251ca701f358aae3975d978bae146a0c0d50b5b91365d0e26b5d</w:t>
      </w:r>
    </w:p>
    <w:p>
      <w:pPr>
        <w:pStyle w:val="Meta"/>
      </w:pPr>
      <w:r>
        <w:rPr/>
        <w:t xml:space="preserve">External Word edits stay in Word. Restore the complete workspace from project JSON.</w:t>
      </w:r>
    </w:p>
    <w:p>
      <w:pPr>
        <w:pStyle w:val="RecordHeading"/>
      </w:pPr>
      <w:r>
        <w:rPr/>
        <w:t xml:space="preserve">E1 · interview02.txt</w:t>
      </w:r>
    </w:p>
    <w:p>
      <w:pPr>
        <w:pStyle w:val="Meta"/>
      </w:pPr>
      <w:r>
        <w:rPr/>
        <w:t xml:space="preserve">Annotation 488bba0accd84c94ad2f904f241ad6ae</w:t>
        <w:br/>
        <w:t xml:space="preserve">Document f153cc3e3f694f1ea763188d3535eebf</w:t>
        <w:br/>
        <w:t xml:space="preserve">SHA256 f43f005420b55b9fb7c8346d7f9e5c4c0cfb73f46bc295c8ca9c45e561734036</w:t>
        <w:br/>
        <w:t xml:space="preserve">Code 177098f805974bae8e589c1cb2fae553 · imported</w:t>
      </w:r>
    </w:p>
    <w:p>
      <w:pPr>
        <w:pStyle w:val="RecordHeading"/>
      </w:pPr>
      <w:r>
        <w:rPr/>
        <w:t xml:space="preserve">E2 · interview02.txt</w:t>
      </w:r>
    </w:p>
    <w:p>
      <w:pPr>
        <w:pStyle w:val="Meta"/>
      </w:pPr>
      <w:r>
        <w:rPr/>
        <w:t xml:space="preserve">Annotation 7748cde944af49b88b8255f3fa0d67e2</w:t>
        <w:br/>
        <w:t xml:space="preserve">Document f153cc3e3f694f1ea763188d3535eebf</w:t>
        <w:br/>
        <w:t xml:space="preserve">SHA256 f43f005420b55b9fb7c8346d7f9e5c4c0cfb73f46bc295c8ca9c45e561734036</w:t>
        <w:br/>
        <w:t xml:space="preserve">Code 72b86059824e4ed5973875f0ee7ddff3 · imported</w:t>
      </w:r>
    </w:p>
    <w:p>
      <w:pPr>
        <w:pStyle w:val="RecordHeading"/>
      </w:pPr>
      <w:r>
        <w:rPr/>
        <w:t xml:space="preserve">E3 · interview02.txt</w:t>
      </w:r>
    </w:p>
    <w:p>
      <w:pPr>
        <w:pStyle w:val="Meta"/>
      </w:pPr>
      <w:r>
        <w:rPr/>
        <w:t xml:space="preserve">Annotation e7f3646a9d62439c803362907036227d</w:t>
        <w:br/>
        <w:t xml:space="preserve">Document f153cc3e3f694f1ea763188d3535eebf</w:t>
        <w:br/>
        <w:t xml:space="preserve">SHA256 f43f005420b55b9fb7c8346d7f9e5c4c0cfb73f46bc295c8ca9c45e561734036</w:t>
        <w:br/>
        <w:t xml:space="preserve">Code 6cb80dbc23ce489e8da9428666efe6a0 · imported</w:t>
      </w:r>
    </w:p>
    <w:p>
      <w:pPr>
        <w:pStyle w:val="RecordHeading"/>
      </w:pPr>
      <w:r>
        <w:rPr/>
        <w:t xml:space="preserve">Figure 1 · frequency</w:t>
      </w:r>
    </w:p>
    <w:p>
      <w:pPr>
        <w:pStyle w:val="Meta"/>
      </w:pPr>
      <w:r>
        <w:rPr/>
        <w:t xml:space="preserve">Asset SHA256 70f086aaabf4597e8b5cbdfe48556566d607a079fbe65a1ac48ffcad9c1f7a15</w:t>
      </w:r>
    </w:p>
    <w:p>
      <w:pPr>
        <w:pStyle w:val="Meta"/>
      </w:pPr>
      <w:r>
        <w:rPr/>
        <w:t xml:space="preserve">Level code · top 15 · mode overlap · YlGnBu · 300 dpi</w:t>
        <w:br/>
        <w:t xml:space="preserve">Python 3.14.6 · matplotlib 3.11.2 · font DejaVu Sans</w:t>
      </w:r>
    </w:p>
    <w:p>
      <w:pPr>
        <w:pStyle w:val="RecordHeading"/>
      </w:pPr>
      <w:r>
        <w:rPr/>
        <w:t xml:space="preserve">Figure 2 · coverage</w:t>
      </w:r>
    </w:p>
    <w:p>
      <w:pPr>
        <w:pStyle w:val="Meta"/>
      </w:pPr>
      <w:r>
        <w:rPr/>
        <w:t xml:space="preserve">Asset SHA256 7ffcaf37ea7e8a88c181799fc063df617369c8a7899f148114c3662c463d3b39</w:t>
      </w:r>
    </w:p>
    <w:p>
      <w:pPr>
        <w:pStyle w:val="Meta"/>
      </w:pPr>
      <w:r>
        <w:rPr/>
        <w:t xml:space="preserve">Level code · top 15 · mode overlap · YlGnBu · 300 dpi</w:t>
        <w:br/>
        <w:t xml:space="preserve">Python 3.14.6 · matplotlib 3.11.2 · font DejaVu Sans</w:t>
      </w:r>
    </w:p>
    <w:p>
      <w:pPr>
        <w:pStyle w:val="RecordHeading"/>
      </w:pPr>
      <w:r>
        <w:rPr/>
        <w:t xml:space="preserve">Figure 3 · cooccurrence</w:t>
      </w:r>
    </w:p>
    <w:p>
      <w:pPr>
        <w:pStyle w:val="Meta"/>
      </w:pPr>
      <w:r>
        <w:rPr/>
        <w:t xml:space="preserve">Asset SHA256 b1226b193aabd80cc6ed641bd7fe01ac0b1ca613cb27770b1016fcffdca8b65d</w:t>
      </w:r>
    </w:p>
    <w:p>
      <w:pPr>
        <w:pStyle w:val="Meta"/>
      </w:pPr>
      <w:r>
        <w:rPr/>
        <w:t xml:space="preserve">Level code · top 15 · mode overlap · YlGnBu · 300 dpi</w:t>
        <w:br/>
        <w:t xml:space="preserve">Python 3.14.6 · matplotlib 3.11.2 · font DejaVu Sans</w:t>
      </w:r>
    </w:p>
    <w:p>
      <w:pPr>
        <w:pStyle w:val="RecordHeading"/>
      </w:pPr>
      <w:r>
        <w:rPr/>
        <w:t xml:space="preserve">Figure 4 · hierarchy</w:t>
      </w:r>
    </w:p>
    <w:p>
      <w:pPr>
        <w:pStyle w:val="Meta"/>
      </w:pPr>
      <w:r>
        <w:rPr/>
        <w:t xml:space="preserve">Asset SHA256 607067d562d09e41c36e4794492d542124f039b9ee057465c0dc88de396a4a75</w:t>
      </w:r>
    </w:p>
    <w:p>
      <w:pPr>
        <w:pStyle w:val="Meta"/>
      </w:pPr>
      <w:r>
        <w:rPr/>
        <w:t xml:space="preserve">Level code · top 15 · mode overlap · YlGnBu · 300 dpi</w:t>
        <w:br/>
        <w:t xml:space="preserve">Python 3.14.6 · matplotlib 3.11.2 · font DejaVu Sans</w:t>
      </w:r>
    </w:p>
    <w:p>
      <w:pPr>
        <w:pStyle w:val="RecordHeading"/>
      </w:pPr>
      <w:r>
        <w:rPr/>
        <w:t xml:space="preserve">Figure 5 · accumulation</w:t>
      </w:r>
    </w:p>
    <w:p>
      <w:pPr>
        <w:pStyle w:val="Meta"/>
      </w:pPr>
      <w:r>
        <w:rPr/>
        <w:t xml:space="preserve">Asset SHA256 7ca3588b185bf8a63616c0794f7fca0ca1d3654295d486b95848697678744615</w:t>
      </w:r>
    </w:p>
    <w:p>
      <w:pPr>
        <w:pStyle w:val="Meta"/>
      </w:pPr>
      <w:r>
        <w:rPr/>
        <w:t xml:space="preserve">Level code · top 15 · mode overlap · YlGnBu · 300 dpi</w:t>
        <w:br/>
        <w:t xml:space="preserve">Python 3.14.6 · matplotlib 3.11.2 · font DejaVu Sans</w:t>
      </w:r>
    </w:p>
    <w:p>
      <w:pPr>
        <w:pStyle w:val="Meta"/>
      </w:pPr>
      <w:r>
        <w:rPr/>
        <w:t xml:space="preserve">Complete figure settings, numeric results and hashes are embedded in this document and included with the original recipes in the report ZIP.</w:t>
      </w:r>
    </w:p>
    <w:sectPr>
      <w:footerReference w:type="default" r:id="qtFooter"/>
      <w:pgSz w:w="11906" w:h="16838"/>
      <w:pgMar w:top="900" w:right="823" w:bottom="900" w:left="823" w:header="400" w:footer="400"/>
    </w:sectPr>
  </w:body>
</w:document>
</file>

<file path=word/footer1.xml><?xml version="1.0" encoding="utf-8"?>
<w:ftr xmlns:w="http://schemas.openxmlformats.org/wordprocessingml/2006/main">
  <w:p>
    <w:pPr>
      <w:pStyle w:val="PageFooter"/>
      <w:jc w:val="right"/>
    </w:pPr>
    <w:r>
      <w:rPr/>
      <w:t xml:space="preserve">QT Research report · </w:t>
    </w:r>
    <w:fldSimple w:instr="PAGE">
      <w:r>
        <w:rPr/>
        <w:t xml:space="preserve">1</w:t>
      </w:r>
    </w:fldSimple>
  </w:p>
</w:ftr>
</file>

<file path=word/styles.xml><?xml version="1.0" encoding="utf-8"?>
<w:styles xmlns:w="http://schemas.openxmlformats.org/wordprocessingml/2006/main">
  <w:docDefaults>
    <w:rPrDefault>
      <w:rPr>
        <w:rFonts w:ascii="Georgia" w:hAnsi="Georgia"/>
        <w:sz w:val="22"/>
        <w:color w:val="000000"/>
      </w:rPr>
    </w:rPrDefault>
  </w:docDefaults>
  <w:style w:type="paragraph" w:styleId="Normal" w:default="1">
    <w:name w:val="Normal"/>
    <w:pPr>
      <w:spacing w:before="0" w:after="140" w:line="320" w:lineRule="auto"/>
      <w:widowControl/>
    </w:pPr>
    <w:rPr>
      <w:rFonts w:ascii="Georgia" w:hAnsi="Georgia"/>
      <w:color w:val="000000"/>
      <w:sz w:val="22"/>
    </w:rPr>
  </w:style>
  <w:style w:type="paragraph" w:styleId="Title">
    <w:name w:val="Title"/>
    <w:basedOn w:val="Normal"/>
    <w:next w:val="Normal"/>
    <w:pPr>
      <w:spacing w:before="0" w:after="260" w:line="270" w:lineRule="auto"/>
      <w:widowControl/>
      <w:keepNext/>
      <w:keepLines/>
    </w:pPr>
    <w:rPr>
      <w:rFonts w:ascii="Calibri" w:hAnsi="Calibri"/>
      <w:b/>
      <w:color w:val="000000"/>
      <w:sz w:val="48"/>
    </w:rPr>
  </w:style>
  <w:style w:type="paragraph" w:styleId="Subtitle">
    <w:name w:val="Subtitle"/>
    <w:basedOn w:val="Normal"/>
    <w:next w:val="Normal"/>
    <w:pPr>
      <w:spacing w:before="0" w:after="180" w:line="300" w:lineRule="auto"/>
      <w:widowControl/>
      <w:keepNext/>
      <w:keepLines/>
    </w:pPr>
    <w:rPr>
      <w:rFonts w:ascii="Calibri" w:hAnsi="Calibri"/>
      <w:color w:val="000000"/>
      <w:sz w:val="25"/>
    </w:rPr>
  </w:style>
  <w:style w:type="paragraph" w:styleId="Heading1">
    <w:name w:val="heading 1"/>
    <w:basedOn w:val="Normal"/>
    <w:next w:val="Normal"/>
    <w:pPr>
      <w:spacing w:before="340" w:after="160" w:line="280" w:lineRule="auto"/>
      <w:widowControl/>
      <w:keepNext/>
      <w:keepLines/>
      <w:outlineLvl w:val="0"/>
    </w:pPr>
    <w:rPr>
      <w:rFonts w:ascii="Calibri" w:hAnsi="Calibri"/>
      <w:b/>
      <w:color w:val="000000"/>
      <w:sz w:val="34"/>
    </w:rPr>
  </w:style>
  <w:style w:type="paragraph" w:styleId="Heading2">
    <w:name w:val="heading 2"/>
    <w:basedOn w:val="Normal"/>
    <w:next w:val="Normal"/>
    <w:pPr>
      <w:spacing w:before="230" w:after="100" w:line="280" w:lineRule="auto"/>
      <w:widowControl/>
      <w:keepNext/>
      <w:keepLines/>
      <w:outlineLvl w:val="1"/>
    </w:pPr>
    <w:rPr>
      <w:rFonts w:ascii="Calibri" w:hAnsi="Calibri"/>
      <w:b/>
      <w:color w:val="000000"/>
      <w:sz w:val="26"/>
    </w:rPr>
  </w:style>
  <w:style w:type="paragraph" w:styleId="Heading3">
    <w:name w:val="heading 3"/>
    <w:basedOn w:val="Normal"/>
    <w:next w:val="Normal"/>
    <w:pPr>
      <w:spacing w:before="180" w:after="90" w:line="280" w:lineRule="auto"/>
      <w:widowControl/>
      <w:keepNext/>
      <w:keepLines/>
      <w:outlineLvl w:val="2"/>
    </w:pPr>
    <w:rPr>
      <w:rFonts w:ascii="Calibri" w:hAnsi="Calibri"/>
      <w:b/>
      <w:color w:val="000000"/>
      <w:sz w:val="23"/>
    </w:rPr>
  </w:style>
  <w:style w:type="paragraph" w:styleId="Meta">
    <w:name w:val="Record metadata"/>
    <w:basedOn w:val="Normal"/>
    <w:next w:val="Normal"/>
    <w:pPr>
      <w:spacing w:before="0" w:after="110" w:line="280" w:lineRule="auto"/>
      <w:widowControl/>
    </w:pPr>
    <w:rPr>
      <w:rFonts w:ascii="Calibri" w:hAnsi="Calibri"/>
      <w:color w:val="465566"/>
      <w:sz w:val="17"/>
    </w:rPr>
  </w:style>
  <w:style w:type="paragraph" w:styleId="SourceText">
    <w:name w:val="Verbatim source"/>
    <w:basedOn w:val="Normal"/>
    <w:next w:val="Normal"/>
    <w:pPr>
      <w:spacing w:before="0" w:after="180" w:line="300" w:lineRule="auto"/>
      <w:widowControl/>
    </w:pPr>
    <w:rPr>
      <w:rFonts w:ascii="Georgia" w:hAnsi="Georgia"/>
      <w:i/>
      <w:color w:val="000000"/>
      <w:sz w:val="22"/>
    </w:rPr>
  </w:style>
  <w:style w:type="paragraph" w:styleId="SourceQuestion">
    <w:name w:val="Explicit question"/>
    <w:basedOn w:val="SourceText"/>
    <w:next w:val="Normal"/>
    <w:pPr>
      <w:spacing w:before="0" w:after="180" w:line="300" w:lineRule="auto"/>
      <w:widowControl/>
      <w:keepLines/>
    </w:pPr>
    <w:rPr>
      <w:rFonts w:ascii="Georgia" w:hAnsi="Georgia"/>
      <w:b/>
      <w:color w:val="000000"/>
      <w:sz w:val="22"/>
    </w:rPr>
  </w:style>
  <w:style w:type="paragraph" w:styleId="EvidenceQuote">
    <w:name w:val="Verbatim evidence"/>
    <w:basedOn w:val="Normal"/>
    <w:next w:val="Normal"/>
    <w:pPr>
      <w:spacing w:before="100" w:after="180" w:line="320" w:lineRule="auto"/>
      <w:widowControl/>
      <w:ind w:left="240" w:right="240"/>
      <w:pBdr>
        <w:left w:val="single" w:sz="8" w:color="8194A5" w:space="9"/>
      </w:pBdr>
    </w:pPr>
    <w:rPr>
      <w:rFonts w:ascii="Georgia" w:hAnsi="Georgia"/>
      <w:i/>
      <w:color w:val="000000"/>
      <w:sz w:val="22"/>
    </w:rPr>
  </w:style>
  <w:style w:type="paragraph" w:styleId="PassageLabel">
    <w:name w:val="Source paragraph label"/>
    <w:basedOn w:val="Normal"/>
    <w:next w:val="Normal"/>
    <w:pPr>
      <w:spacing w:before="140" w:after="70" w:line="240" w:lineRule="auto"/>
      <w:widowControl/>
    </w:pPr>
    <w:rPr>
      <w:rFonts w:ascii="Calibri" w:hAnsi="Calibri"/>
      <w:b/>
      <w:color w:val="3C4F63"/>
      <w:sz w:val="17"/>
    </w:rPr>
  </w:style>
  <w:style w:type="paragraph" w:styleId="TreeRole">
    <w:name w:val="Coding tree role"/>
    <w:basedOn w:val="Normal"/>
    <w:next w:val="Normal"/>
    <w:pPr>
      <w:spacing w:before="0" w:after="30" w:line="240" w:lineRule="auto"/>
      <w:widowControl/>
      <w:keepNext/>
      <w:keepLines/>
    </w:pPr>
    <w:rPr>
      <w:rFonts w:ascii="Calibri" w:hAnsi="Calibri"/>
      <w:b/>
      <w:color w:val="000000"/>
      <w:sz w:val="16"/>
    </w:rPr>
  </w:style>
  <w:style w:type="paragraph" w:styleId="TreeName">
    <w:name w:val="Coding tree name"/>
    <w:basedOn w:val="Normal"/>
    <w:next w:val="Normal"/>
    <w:pPr>
      <w:spacing w:before="0" w:after="100" w:line="280" w:lineRule="auto"/>
      <w:widowControl/>
    </w:pPr>
    <w:rPr>
      <w:rFonts w:ascii="Georgia" w:hAnsi="Georgia"/>
      <w:color w:val="000000"/>
      <w:sz w:val="21"/>
    </w:rPr>
  </w:style>
  <w:style w:type="paragraph" w:styleId="FigureCaption">
    <w:name w:val="Figure caption"/>
    <w:basedOn w:val="Normal"/>
    <w:next w:val="Normal"/>
    <w:pPr>
      <w:spacing w:before="80" w:after="100" w:line="280" w:lineRule="auto"/>
      <w:widowControl/>
    </w:pPr>
    <w:rPr>
      <w:rFonts w:ascii="Georgia" w:hAnsi="Georgia"/>
      <w:color w:val="000000"/>
      <w:sz w:val="21"/>
    </w:rPr>
  </w:style>
  <w:style w:type="paragraph" w:styleId="PageFooter">
    <w:name w:val="Page navigation"/>
    <w:basedOn w:val="Normal"/>
    <w:next w:val="Normal"/>
    <w:pPr>
      <w:spacing w:before="0" w:after="0" w:line="240" w:lineRule="auto"/>
      <w:widowControl/>
    </w:pPr>
    <w:rPr>
      <w:rFonts w:ascii="Calibri" w:hAnsi="Calibri"/>
      <w:color w:val="465566"/>
      <w:sz w:val="17"/>
    </w:rPr>
  </w:style>
  <w:style w:type="paragraph" w:styleId="ChapterNote">
    <w:name w:val="Chapter guide"/>
    <w:basedOn w:val="Normal"/>
    <w:next w:val="Normal"/>
    <w:pPr>
      <w:spacing w:before="0" w:after="140" w:line="280" w:lineRule="auto"/>
      <w:widowControl/>
    </w:pPr>
    <w:rPr>
      <w:rFonts w:ascii="Calibri" w:hAnsi="Calibri"/>
      <w:color w:val="465566"/>
      <w:sz w:val="19"/>
    </w:rPr>
  </w:style>
  <w:style w:type="paragraph" w:styleId="RecordHeading">
    <w:name w:val="Record heading"/>
    <w:basedOn w:val="Normal"/>
    <w:next w:val="Normal"/>
    <w:pPr>
      <w:spacing w:before="100" w:after="50" w:line="260" w:lineRule="auto"/>
      <w:widowControl/>
      <w:keepNext/>
      <w:keepLines/>
      <w:outlineLvl w:val="2"/>
    </w:pPr>
    <w:rPr>
      <w:rFonts w:ascii="Calibri" w:hAnsi="Calibri"/>
      <w:b/>
      <w:color w:val="000000"/>
      <w:sz w:val="21"/>
    </w:rPr>
  </w:style>
</w:styles>
</file>

<file path=word/_rels/document.xml.rels><?xml version='1.0' encoding='utf-8'?>
<Relationships xmlns="http://schemas.openxmlformats.org/package/2006/relationships"><Relationship Id="r1" Type="http://schemas.openxmlformats.org/officeDocument/2006/relationships/styles" Target="styles.xml" /><Relationship Id="r2" Type="http://schemas.openxmlformats.org/officeDocument/2006/relationships/customXml" Target="../customXml/item1.xml" /><Relationship Id="imageec03e8690f56e2901daa6d50" Type="http://schemas.openxmlformats.org/officeDocument/2006/relationships/image" Target="media/imageec03e8690f56e2901daa6d50.png" /><Relationship Id="image236d1bb6754b5bc36f61349f" Type="http://schemas.openxmlformats.org/officeDocument/2006/relationships/image" Target="media/image236d1bb6754b5bc36f61349f.png" /><Relationship Id="image9e0854f89c534e3ad137b9e6" Type="http://schemas.openxmlformats.org/officeDocument/2006/relationships/image" Target="media/image9e0854f89c534e3ad137b9e6.png" /><Relationship Id="image3a4b897638fff480327fd049" Type="http://schemas.openxmlformats.org/officeDocument/2006/relationships/image" Target="media/image3a4b897638fff480327fd049.png" /><Relationship Id="image9bb0851eddee6d552dfc2d0d" Type="http://schemas.openxmlformats.org/officeDocument/2006/relationships/image" Target="media/image9bb0851eddee6d552dfc2d0d.png" /><Relationship Id="qtFigureRecords" Type="http://schemas.openxmlformats.org/officeDocument/2006/relationships/customXml" Target="../customXml/item2.xml" /><Relationship Id="qtFooter" Type="http://schemas.openxmlformats.org/officeDocument/2006/relationships/footer" Target="footer1.xml" /></Relationships>
</file>

<file path=customXml/item1.xml><?xml version="1.0" encoding="utf-8"?>
<report>{"bindings":{"codes":{"177098f805974bae8e589c1cb2fae553":{"id":"177098f805974bae8e589c1cb2fae553","name":"printed books and manuscripts from the Renaissance","path":"materials &gt; ancient manuscripts and early printed books &gt; printed books and manuscripts from the Renaissance"},"6cb80dbc23ce489e8da9428666efe6a0":{"id":"6cb80dbc23ce489e8da9428666efe6a0","name":"critically-reconstructed text","path":"materials &gt; publications, modern and contemporary &gt; publications stemming from the project &gt; critical editions &gt; structure of a critical edition &gt; critically-reconstructed text"},"72b86059824e4ed5973875f0ee7ddff3":{"id":"72b86059824e4ed5973875f0ee7ddff3","name":"digitisation has changed the way of working on the documents","path":"materials &gt; digital representations of cultural objects &gt; pros of using facsimiles and photographs &gt; digitisation has changed the way of working on the documents"}},"evidence":{"488bba0accd84c94ad2f904f241ad6ae":{"code_id":"177098f805974bae8e589c1cb2fae553","document_id":"f153cc3e3f694f1ea763188d3535eebf","document_name":"interview02.txt","end":960,"id":"488bba0accd84c94ad2f904f241ad6ae","quote":"Quindi noi abbiamo lavorato, per passare al metodo, sulla stampa diciamo su due stampe, ","sha256":"f43f005420b55b9fb7c8346d7f9e5c4c0cfb73f46bc295c8ca9c45e561734036","source":"imported","start":872},"7748cde944af49b88b8255f3fa0d67e2":{"code_id":"72b86059824e4ed5973875f0ee7ddff3","document_id":"f153cc3e3f694f1ea763188d3535eebf","document_name":"interview02.txt","end":3348,"id":"7748cde944af49b88b8255f3fa0d67e2","quote":"Questa rappresenta [una novità], rispetto a quando ho iniziato a fare ricerca di questo tipo, quindici anni fa ovviamente sarei dovuto andare in biblioteca, invece adesso una è stata digitalizzata da Google Libri e invece quella del 1502 abbiamo utilizzato la stampa digitalizzata dalla Staats Bibliotek di Monaco di Baviera, che è un repositore di stampe antiche eccezione, il 70% di quello che cerchiamo tra incunaboli e libri stampati di fine Quattrocento e cinquecentine lo si trova. ","sha256":"f43f005420b55b9fb7c8346d7f9e5c4c0cfb73f46bc295c8ca9c45e561734036","source":"imported","start":2860},"e7f3646a9d62439c803362907036227d":{"code_id":"6cb80dbc23ce489e8da9428666efe6a0","document_id":"f153cc3e3f694f1ea763188d3535eebf","document_name":"interview02.txt","end":1466,"id":"e7f3646a9d62439c803362907036227d","quote":"e a volte ci sono degli errori che vanno sanati nel testo latino o ci sono delle cose che non si comprendono. A volte ci sono delle lacune perché qualcosa è saltato nel processo di stampa, dal manoscritto alla stampa, e quindi bisogna ripristinarlo criticamente con l’aiuto di due stampe, ","sha256":"f43f005420b55b9fb7c8346d7f9e5c4c0cfb73f46bc295c8ca9c45e561734036","source":"imported","start":1177}},"figures":{"example-accumulation":{"asset_id":"7ca3588b185bf8a63616c0794f7fca0ca1d3654295d486b95848697678744615","source_version":"c41fb0c1685d251ca701f358aae3975d978bae146a0c0d50b5b91365d0e26b5d"},"example-cooccurrence":{"asset_id":"b1226b193aabd80cc6ed641bd7fe01ac0b1ca613cb27770b1016fcffdca8b65d","source_version":"c41fb0c1685d251ca701f358aae3975d978bae146a0c0d50b5b91365d0e26b5d"},"example-coverage":{"asset_id":"7ffcaf37ea7e8a88c181799fc063df617369c8a7899f148114c3662c463d3b39","source_version":"c41fb0c1685d251ca701f358aae3975d978bae146a0c0d50b5b91365d0e26b5d"},"example-frequency":{"asset_id":"70f086aaabf4597e8b5cbdfe48556566d607a079fbe65a1ac48ffcad9c1f7a15","source_version":"c41fb0c1685d251ca701f358aae3975d978bae146a0c0d50b5b91365d0e26b5d"},"example-hierarchy":{"asset_id":"607067d562d09e41c36e4794492d542124f039b9ee057465c0dc88de396a4a75","source_version":"c41fb0c1685d251ca701f358aae3975d978bae146a0c0d50b5b91365d0e26b5d"}}},"content_hash":"e9cbc41f4b971a70b15a0b46e0db94fad3e5b836f46840d54067af05d88cf040","draft":{"analysis_unit":"An existing quotation and its saved code path, read in the context of the full source document.","approach":"Qualitative Content Analysis","case_unit":"The corpus has 19 public interview documents. The short written example below reviews selected passages from interview02.txt.","checks":{"category-development":false,"category-review":false,"coding-rules":false,"context":false,"units":true,"writing":false},"counterexamples":"Only selected material-related passages are interpreted here. Contrasting perspectives across the other interviews require further contextual reading.","disclosure":"Public Bologna CC0 data only. No private interviews or model calls were used. Editing the downloaded Word documents does not change the QT project.","figures":[{"caption":"Code frequency from the original saved coding record.","id":"example-frequency","options":{"annotate":true,"cluster":false,"color":"#73a89a","credit":"Counts passage-code assignments, not participants. Frequency is not importance.","dpi":300,"figsize":11.0,"font":"DejaVu Sans","fontsize":10,"kind":"frequency","level":"code","method":"ward","mode":"overlap","name":"figure_frequency","palette":"YlGnBu","subtitle":"","title":"Code frequency","top":15}},{"caption":"Code by interview from the original saved coding record.","id":"example-coverage","options":{"annotate":true,"cluster":false,"color":"#73a89a","credit":"Counts passage-code assignments, not participants. Zero means no coding in this interview.","dpi":300,"figsize":11.0,"font":"DejaVu Sans","fontsize":10,"kind":"coverage","level":"code","method":"ward","mode":"overlap","name":"figure_coverage","palette":"YlGnBu","subtitle":"","title":"Code-by-interview matrix","top":15}},{"caption":"Code co-occurrence from the original saved coding record.","id":"example-cooccurrence","options":{"annotate":true,"cluster":false,"color":"#73a89a","credit":"Codes whose character ranges overlap within one interview. Descriptive; not correlation. Diagonal counts the units a code appears in, not pairs.","dpi":300,"figsize":11.0,"font":"DejaVu Sans","fontsize":10,"kind":"cooccurrence","level":"code","method":"ward","mode":"overlap","name":"figure_cooccurrence","palette":"YlGnBu","subtitle":"Descriptive only: two codes sharing a range, not a correlation.","title":"Overlapping-range co-occurrence","top":15}},{"caption":"Theme hierarchy from the original saved coding record.","id":"example-hierarchy","options":{"annotate":true,"cluster":false,"color":"#73a89a","credit":"Counts coded extracts per section and subsection, not participants.","dpi":300,"figsize":11.0,"font":"DejaVu Sans","fontsize":10,"kind":"hierarchy","level":"code","method":"ward","mode":"overlap","name":"figure_hierarchy","palette":"YlGnBu","subtitle":"","title":"Themes and named subthemes","top":15}},{"caption":"Code accumulation from the original saved coding record.","id":"example-accumulation","options":{"annotate":true,"cluster":false,"color":"#73a89a","credit":"Interviews in file-name order, not the order conducted. A plateau is not saturation.","dpi":300,"figsize":11.0,"font":"DejaVu Sans","fontsize":10,"kind":"accumulation","level":"code","method":"ward","mode":"overlap","name":"figure_accumulation","palette":"YlGnBu","subtitle":"","title":"Code accumulation curve","top":15}}],"limitations":"This small writing example does not establish a complete analysis or saturation. Counts describe saved coding activity rather than importance or prevalence among people.","method":"content","method_notes":"This is a worked software example using the original Bologna coding. No new coding or participant interpretation was generated. Table labels retain the saved ancestry. Method steps show the workflow; unchecked review stages remain unconfirmed.","narrative":"The selected passages describe different forms of research material. Their saved paths place these distinctions inside the materials group. Read the exact quotations before judging how well each code fits. [E:488bba0accd84c94ad2f904f241ad6ae] [E:e7f3646a9d62439c803362907036227d] [E:7748cde944af49b88b8255f3fa0d67e2]\nThe five figures summarize all existing codings across the corpus. They support checking the record; they do not substitute for interpretation of the interviews.","quality_notes":"Quoted characters and code identities were checked against the saved source. All five figures use the complete original 19-document coding record and their existing counting rules.","reflexivity":"The short illustrative narrative was prepared for the QT demonstration. It is not an independently validated analysis of this corpus.","research_question":"How are research materials described in this saved Bologna coding record?","rows":[{"category":"ancient manuscripts and early printed books","code_ids":["177098f805974bae8e589c1cb2fae553"],"evidence_ids":["488bba0accd84c94ad2f904f241ad6ae"],"id":"example-row-1","interpretation":"The saved code distinguishes a form of research material in this passage. [E:488bba0accd84c94ad2f904f241ad6ae]","theme":"materials"},{"category":"publications, modern and contemporary &gt; publications stemming from the project &gt; critical editions &gt; structure of a critical edition","code_ids":["6cb80dbc23ce489e8da9428666efe6a0"],"evidence_ids":["e7f3646a9d62439c803362907036227d"],"id":"example-row-2","interpretation":"The saved code distinguishes a form of research material in this passage. [E:e7f3646a9d62439c803362907036227d]","theme":"materials"},{"category":"digital representations of cultural objects &gt; pros of using facsimiles and photographs","code_ids":["72b86059824e4ed5973875f0ee7ddff3"],"evidence_ids":["7748cde944af49b88b8255f3fa0d67e2"],"id":"example-row-3","interpretation":"The saved code distinguishes a form of research material in this passage. [E:7748cde944af49b88b8255f3fa0d67e2]","theme":"materials"}],"title":"Bologna coding evidence report"},"id":"73509d4bf968476e85b590022a2020fe","method_map":{"links":[[1,2],[2,3],[3,4],[4,5],[5,6],[5,2]],"method":"content","name":"Qualitative Content Analysis","note":"Content analysis is a complete method. It is not a compulsory preliminary stage for TA or Comparative QCA.","references":[{"title":"Graneheim and Lundman (2004) · concepts and procedures","url":"https://doi.org/10.1016/j.nedt.2003.10.001"}],"steps":[{"detail":"Document what is analysed and the chosen content analysis approach.","id":1,"title":"Declare unit and approach"},{"detail":"Identify relevant passages while retaining their surrounding context.","id":2,"title":"Select meaning units"},{"detail":"Shorten meaning units only when this fits the analytic design.","id":3,"title":"Condense when appropriate"},{"detail":"Compare codes and refine categories with explicit analytic decisions.","id":4,"title":"Code and review categories"},{"detail":"Consider meaning and abstraction; themes are optional, design-dependent.","id":5,"title":"Interpret in context"},{"detail":"Connect categories, interpretation and source quotations in the report.","id":6,"title":"Write with evidence"}],"version":1},"restored_from":null,"revision":2,"saved_at":"2026-10-18T17:38:23.221279+00:00","source_version":"c41fb0c1685d251ca701f358aae3975d978bae146a0c0d50b5b91365d0e26b5d"}</report>
</file>

<file path=customXml/item2.xml><?xml version="1.0" encoding="utf-8"?>
<figure-records>{"example-accumulation":{"binding":{"asset_id":"7ca3588b185bf8a63616c0794f7fca0ca1d3654295d486b95848697678744615","source_version":"c41fb0c1685d251ca701f358aae3975d978bae146a0c0d50b5b91365d0e26b5d"},"environment":{"font":"DejaVu Sans","matplotlib":"3.11.2","python":"3.14.6","scipy":"not installed"},"members":{"figure.py":"f580d665b60f70c6207bd7e44a5be6c187c71af21a7d98906958a7972edc09f8","figure_accumulation.pdf":"20acbaef94e4248e5c2aa92fa371163cd07dd4ace4a2a0bb9d94385fbe9470a5","figure_accumulation.png":"9bb0851eddee6d552dfc2d0d6c875bad35b684ff945df3e4f8b3bb48cdb4433d","figure_accumulation.svg":"99a7e0a84016ab39e818ae8f5a9df4134c45592e409d276cf4f593d88125848f","figure_data.csv":"bc3a3a07462ad2d98540f9e720049fa4bc4016a92ad991245600d239c96756b5"},"options":{"annotate":true,"cluster":false,"color":"#73a89a","credit":"Interviews in file-name order, not the order conducted. A plateau is not saturation.","dpi":300,"figsize":11.0,"font":"DejaVu Sans","fontsize":10,"kind":"accumulation","level":"code","method":"ward","mode":"overlap","name":"figure_accumulation","palette":"YlGnBu","subtitle":"","title":"Code accumulation curve","top":15},"result":{"cases":["interview01.txt","interview02.txt","interview03.txt","interview04.txt","interview05.txt","interview06.txt","interview07.txt","interview08.txt","interview09.txt","interview10.txt","interview11.txt","interview12.txt","interview13.txt","interview14.txt","interview15.txt","interview16.txt","interview17.txt","interview18.txt","interview19.txt"],"codings":874,"cumulative":[24,58,90,108,117,137,144,165,179,191,198,205,214,225,236,246,250,251,259],"kind":"accumulation"}},"example-cooccurrence":{"binding":{"asset_id":"b1226b193aabd80cc6ed641bd7fe01ac0b1ca613cb27770b1016fcffdca8b65d","source_version":"c41fb0c1685d251ca701f358aae3975d978bae146a0c0d50b5b91365d0e26b5d"},"environment":{"font":"DejaVu Sans","matplotlib":"3.11.2","python":"3.14.6","scipy":"not installed"},"members":{"figure.py":"46b85d5dbab8c35b1eac39a30c4ac135691d5261ff650ce5f9ed84c5273dcd68","figure_cooccurrence.pdf":"ebe32cd2c21cf2790c54d5e2b8ec2a6b8a0401df5383b90e9ad481326acd1b7a","figure_cooccurrence.png":"9e0854f89c534e3ad137b9e6070d754c59945113fe9f6e1e62927442e73b8754","figure_cooccurrence.svg":"f594d3e5c68c0d84d3de9e9b968555fc87ba973a9098e3688a9e607db8aef203","figure_data.csv":"0dd2521d8b1c8e7d7339b1b0e70ff25c8e8d337e401bec64e28e98f84de989fc"},"options":{"annotate":true,"cluster":false,"color":"#73a89a","credit":"Codes whose character ranges overlap within one interview. Descriptive; not correlation. Diagonal counts the units a code appears in, not pairs.","dpi":300,"figsize":11.0,"font":"DejaVu Sans","fontsize":10,"kind":"cooccurrence","level":"code","method":"ward","mode":"overlap","name":"figure_cooccurrence","palette":"YlGnBu","subtitle":"Descriptive only: two codes sharing a range, not a correlation.","title":"Overlapping-range co-occurrence","top":15},"result":{"codings":874,"kind":"cooccurrence","labels":["keeping working materials after the end of the project","working with others as part of a team","preceding academic work on the same subject","specificities of the humanities","primary sources are data","published with traditional academic publishers","interpretation and results are data","working with others through consultations","digitisation has changed the way of working on the documents","critical editions are deeply formalized","data are circunscribed and objective","discarded material can be useful for teaching and further research","conferences and workshops","journal articles","methodologies are formalized in manuals"],"matrix":[[23,0,0,0,0,0,0,0,0,0,0,7,0,0,0],[0,21,2,0,0,0,0,0,0,0,0,0,1,0,0],[0,2,19,0,0,0,0,0,0,0,0,0,0,0,0],[0,0,0,17,0,0,0,0,0,0,0,0,1,0,0],[0,0,0,0,15,0,2,0,0,0,1,0,0,0,0],[0,0,0,0,0,15,0,0,0,0,0,0,0,0,0],[0,0,0,0,2,0,13,0,0,0,0,0,0,0,0],[0,0,0,0,0,0,0,13,0,0,0,0,0,0,0],[0,0,0,0,0,0,0,0,11,0,0,0,0,0,0],[0,0,0,0,0,0,0,0,0,10,0,0,0,0,1],[0,0,0,0,1,0,0,0,0,0,10,0,0,0,0],[7,0,0,0,0,0,0,0,0,0,0,10,0,0,0],[0,1,0,1,0,0,0,0,0,0,0,0,9,1,0],[0,0,0,0,0,0,0,0,0,0,0,0,1,9,0],[0,0,0,0,0,0,0,0,0,1,0,0,0,0,9]],"mode":"overlap"}},"example-coverage":{"binding":{"asset_id":"7ffcaf37ea7e8a88c181799fc063df617369c8a7899f148114c3662c463d3b39","source_version":"c41fb0c1685d251ca701f358aae3975d978bae146a0c0d50b5b91365d0e26b5d"},"environment":{"font":"DejaVu Sans","matplotlib":"3.11.2","python":"3.14.6","scipy":"not installed"},"members":{"figure.py":"ada773385d5c1c9dafba4dc7dc64b597a8100c07b29916d77655f1ab9bd235f1","figure_coverage.pdf":"7cde708b4d89c4fd8fdf277f437b580d2011b790a86e2df99e23b0ff2b7e4498","figure_coverage.png":"236d1bb6754b5bc36f61349f3b95920e1f07379af54d64667abf02b43eba7351","figure_coverage.svg":"9ec96f66772a3a7490f55905e072f0d3dbd355a1d81c70199cab275f2530686c","figure_data.csv":"25b9b3c04d981db6e61c34184b3d11265cb95f8b742332abef2de27f6b57653b"},"options":{"annotate":true,"cluster":false,"color":"#73a89a","credit":"Counts passage-code assignments, not participants. Zero means no coding in this interview.","dpi":300,"figsize":11.0,"font":"DejaVu Sans","fontsize":10,"kind":"coverage","level":"code","method":"ward","mode":"overlap","name":"figure_coverage","palette":"YlGnBu","subtitle":"","title":"Code-by-interview matrix","top":15},"result":{"cases":["interview01.txt","interview02.txt","interview03.txt","interview04.txt","interview05.txt","interview06.txt","interview07.txt","interview08.txt","interview09.txt","interview10.txt","interview11.txt","interview12.txt","interview13.txt","interview14.txt","interview15.txt","interview16.txt","interview17.txt","interview18.txt","interview19.txt"],"codings":874,"kind":"coverage","labels":["keeping working materials after the end of the project","working with others as part of a team","preceding academic work on the same subject","specificities of the humanities","primary sources are data","published with traditional academic publishers","interpretation and results are data","working with others through consultations","digitisation has changed the way of working on the documents","critical editions are deeply formalized","data are circunscribed and objective","discarded material can be useful for teaching and further research","conferences and workshops","journal articles","methodologies are formalized in manuals"],"matrix":[[0,1,5,0,2,0,1,0,0,0,0,0,0,0,0],[1,2,0,0,1,4,1,0,2,0,1,1,0,0,0],[2,3,0,4,0,1,0,0,3,2,1,0,0,0,0],[1,2,0,0,2,2,2,0,3,1,0,2,0,0,0],[2,0,2,0,0,0,0,2,0,3,0,0,0,0,1],[1,2,1,0,0,2,0,0,0,0,1,0,0,1,1],[1,3,1,0,0,1,0,1,0,2,1,0,2,1,1],[1,1,0,0,0,0,0,0,0,0,1,0,1,2,0],[2,0,1,3,1,0,4,1,0,2,0,1,1,0,0],[1,0,2,4,0,3,1,3,0,0,0,1,0,0,1],[1,0,2,0,0,1,0,1,0,0,0,1,0,0,0],[2,3,0,1,2,1,0,1,1,0,2,0,0,0,2],[2,0,2,2,0,0,0,0,0,0,1,2,1,1,0],[1,1,0,2,0,0,0,0,0,0,0,1,0,0,0],[1,0,1,0,2,0,0,1,0,0,1,0,0,0,0],[1,0,1,0,1,0,0,0,0,0,1,0,0,1,1],[1,1,0,1,1,0,1,1,1,0,0,0,1,0,0],[1,1,1,0,1,0,1,1,0,0,0,0,1,2,1],[1,1,0,0,2,0,2,1,1,0,0,1,2,1,1]]}},"example-frequency":{"binding":{"asset_id":"70f086aaabf4597e8b5cbdfe48556566d607a079fbe65a1ac48ffcad9c1f7a15","source_version":"c41fb0c1685d251ca701f358aae3975d978bae146a0c0d50b5b91365d0e26b5d"},"environment":{"font":"DejaVu Sans","matplotlib":"3.11.2","python":"3.14.6","scipy":"not installed"},"members":{"figure.py":"cb9d0a4ace383338ab042e77788b7bc3a73bb564ef5368b8a8221a23ff1ef7ed","figure_data.csv":"958c9bbd833ad2228230f0927bc09a35cd78824571328b03e572a439152cd82c","figure_frequency.pdf":"3b05f640e3fb8d09a3d4018485e2fc1d4573ecb58486d0f23b0bf81953bb2551","figure_frequency.png":"ec03e8690f56e2901daa6d5088874071dfacdda78387a35dab1434ffb1d34dd7","figure_frequency.svg":"56e04b1064f96f80f703be177a6b69569b65f2dba12765f8540c3c393ad01046"},"options":{"annotate":true,"cluster":false,"color":"#73a89a","credit":"Counts passage-code assignments, not participants. Frequency is not importance.","dpi":300,"figsize":11.0,"font":"DejaVu Sans","fontsize":10,"kind":"frequency","level":"code","method":"ward","mode":"overlap","name":"figure_frequency","palette":"YlGnBu","subtitle":"","title":"Code frequency","top":15},"result":{"codings":874,"counts":[23,21,19,17,15,15,13,13,11,10,10,10,9,9,9],"kind":"frequency","labels":["keeping working materials after the end of the project","working with others as part of a team","preceding academic work on the same subject","specificities of the humanities","primary sources are data","published with traditional academic publishers","interpretation and results are data","working with others through consultations","digitisation has changed the way of working on the documents","critical editions are deeply formalized","data are circunscribed and objective","discarded material can be useful for teaching and further research","conferences and workshops","journal articles","methodologies are formalized in manuals"],"level":"code"}},"example-hierarchy":{"binding":{"asset_id":"607067d562d09e41c36e4794492d542124f039b9ee057465c0dc88de396a4a75","source_version":"c41fb0c1685d251ca701f358aae3975d978bae146a0c0d50b5b91365d0e26b5d"},"environment":{"font":"DejaVu Sans","matplotlib":"3.11.2","python":"3.14.6","scipy":"not installed"},"members":{"figure.py":"4b258b83cf7a0f04b41a611008b8dc38ef94e9cb6904e35d58b171510b73fa9c","figure_data.csv":"f073aa8760a9866a876bc4d4435aed6bb626393050e9eca5cdefbd1e255e6e10","figure_hierarchy.pdf":"2754571b6b0af8cafc1fce56a2f83aa5a69bd5dc0ab977882e26e9fcc87be380","figure_hierarchy.png":"3a4b897638fff480327fd0494e8ad0280708ad12a3a744239c3c4682fb42b1f5","figure_hierarchy.svg":"328f6c8694ff8a197aa2ad2a3191b83a3cf76fa6c6fd65747f7a302d5baab358"},"options":{"annotate":true,"cluster":false,"color":"#73a89a","credit":"Counts coded extracts per section and subsection, not participants.","dpi":300,"figsize":11.0,"font":"DejaVu Sans","fontsize":10,"kind":"hierarchy","level":"code","method":"ward","mode":"overlap","name":"figure_hierarchy","palette":"YlGnBu","subtitle":"","title":"Themes and named subthemes","top":15},"result":{"codings":874,"hierarchy":{"copyright and privacy":{"a specific commission to deal with privacy and ethical issues":1,"academics do not get to keep the copyright of their work":1,"avoiding copyright problems using permalinks":1,"copyright or privacy issues only for publications after XX C":4,"different copyright and privacy laws in different countries":3,"extra work to avoid copyright issues":2,"image rights are more complicated to clear":2,"involving the Culture Ministry":2,"no copyright claims on 3D models themselves":2,"no copyright concerns regarding the app":1,"no copyright or privacy problems regarding manuscripts":6,"no privacy or copyright issues for archival documents":1,"not all partner institutions share their data (privacy concerns)":2,"open access is default for database":1,"open licences (Apache, CC)":2,"privacy and sensitive data on living people":9,"privacy course organized by Unibo useless for humanists":1,"privacy problems in cataloguing of ancient material are rare":1,"teaching materials available online are usually free to reuse":3,"when heirs are alive, authorization to publish is needed":2},"general info on projects":{"challenges faced":6,"how the project is funded":6},"is this data? and what is data?":{"changing one's mind":2,"corpora are data":4,"critically-reconstructed texts are data":2,"data I have are not that interesting":2,"data are circunscribed and objective":10,"data are difficult to define":6,"data are interesting in the context of archiving knowledge":2,"data are only digital":3,"data are quantitative":2,"data is a piece of info about the past, added to what is known":1,"data work together":5,"everything is data":3,"interpretation and results are data":13,"interpretation and results are not data":5,"materials replicated from other studies are data":2,"materials, not data":1,"methodology and notes are data":9,"methodology and notes not data":2,"perception and cognition in concept of data":3,"primary sources are data":15,"publications are data":2,"sensitive data are data":1,"software and ontologies are data":1,"term data is too generic or imprecise":5,"there is formal attention to data presentation in the humanities":1,"variants in an apparatus are data":1},"materials":{"(difficult) discussions around standards":3,"3D web viewer":1,"Bibbia copta online":1,"Gallica":1,"Google Books":1,"Incunabula Short Title Catalogue (British Library)":1,"JStor":1,"Karlsruhe Virtual Catalog":1,"Manus online":1,"Mirabile web":1,"Munich Staats Bibliotek":2,"PAThs (La Sapienza)":1,"The English Short Title Catalogue (ESTC)":2,"ancient manuscripts":2,"année philologique":1,"apparatus and other materials within a critical edition":7,"archival and bibliographic investigation on historical figure ('400-'500)":4,"archival documents often not digitized":1,"artwork images are fundamental and should be available":2,"attitudes towards digital scholarly editions":5,"back-end storing user data in RDF":3,"bibliographic databases":3,"can have a pw-protected back-end":2,"can include translation":2,"can include translation into italian":1,"cataloguing is a complex operation":1,"comments on pre-prints":2,"complexities in scanning different materials":1,"conferences and workshops":9,"conservation problems for rare documents":1,"corpora are almost always digital now":2,"corpora communicate with one another":1,"corpus of answers to socio-linguistic questionnaire":1,"creation of digital database of resources":1,"critical editions are deeply formalized":10,"critical editions are for an extremely specialized public and are not widely accessible":7,"critically-reconstructed text":6,"database are for a specialized audience":1,"database need to be \"alive\"":1,"database need to be interoperable":1,"demographic data of users":1,"digitisation has changed the way of working on the documents":11,"digitization is slow and lacking":7,"documentation: deliverables":6,"editors must declare their edition criteria":4,"essays and book chapters":5,"facsimiles allow to see inaccessible originals":2,"facsimiles are a way to preserve frail originals":1,"facsimiles help but personal inspection is still required":4,"facsimiles traditionally not included in critical editions, common in monographs and articles":2,"forming students on working with database":2,"free mobile app":3,"generally found in public libraries and conservation institutes":3,"historical sources":1,"importance of national catalogues":1,"in-person exhibitions and tours":6,"in-person interactions with primary school pupils":3,"in-person training for language teachers":2,"internal project documentation":1,"internet archive (archive.org)":5,"iscriptions on different materials (can be undeciphered)":2,"journal articles":9,"lexical databases":1,"lexicons and dictionaries":1,"limits of facsimile":5,"literary texts (e.g. novels)":2,"local libraries' online catalogues":1,"manuscripts from the Middle Ages":3,"manuscripts scattered around many Libraries across the World":2,"monographs are rarely accessible online":1,"monographs are the main publication in my field":2,"museum and archival documentation":2,"need to negotiate with museum for intellectual property and access":4,"no documentation or standards in my discipline":5,"not digitized, sometimes not catalogued":2,"online archive of useful materials":5,"originals to be handled very carefully":1,"other uses of archives":4,"pandemic forced to move events online":2,"personal photos allowed for research purposes":6,"pilot study for further analysis":1,"platform collects data from users and profiles them":2,"platform to access cultural heritage and citizen curation online":4,"preceding academic work on the same subject":19,"preparatory drawings, sketches":1,"preparatory materials for contemporary translations":1,"previous criticism of a certain literary or artistic work":2,"previous translations":2,"printed books and manuscripts from the Renaissance":4,"published in OA":4,"published materials for collecting linguistic data through storytelling":6,"published teaching materials and manuals":2,"published with traditional academic publishers":15,"resources from '800 and '900 are often available online":3,"scattered around the world":2,"sematic reasoner and ontology":2,"slowly moving towards making corpora available to the public":1,"small corpora, qualitative but objective analysis":1,"socio-linguistic profile of speakers":3,"software documentation":1,"some libraries are doing a good job at digitizing":1,"standard languages (XML, RDF, etc)":2,"stemma codicum":4,"the artifact is fundamental":2,"the primary sources being edited are extremely varied":7,"thesaurus linguae graecae":2,"unpublished images":1,"unpublished letters":2,"unpublished teaching materials":1,"using storytelling to gather linguistic production data":2,"usually but not always the reading edition has a wider public than the critical":6,"video recordings for prossemics":1,"web standards":1,"website for dissemination to the wider public":8,"website hosted for free on University platform":3},"methodologies and workflows":{"Lachmann's method":3,"adding to the work previously done by others":1,"analysis is both quantitative and qualitative":1,"approach to document is mutuated from paleography and papirology (new philology)":4,"audio-visual materials are fundamental":1,"authorial philology, Contini onwards":2,"best practices often more important than theoretical considerations":3,"changing editing standards":1,"clear methodologies and paradigms":3,"comparatism relatively new to Italy":1,"concerns about long-term preservation":3,"coptology and egyptology are rare in Italian Universities":2,"data is rarely (but increasingly) shared together with aggregated results":7,"deleting working materials at the end of the project":4,"difference between paleography and diplomatics":1,"difficult to standardise, every archive is different":2,"discarded material can be useful for teaching and further research":10,"documents bounded together are part of a system":1,"ethical issues in linguistics":2,"external hard-drive":4,"formalization is scarce":4,"horizontal, not vertical, division of labour":4,"how to examine documents in archives":2,"importance of a teacher passing method on to students":4,"importance of close reading and reflection":1,"importance of having a specific point of view":1,"importance of intuition, as opposed to a method":6,"informal sharing is common practice":8,"keeping an organized archive of everything":6,"keeping working materials after the end of the project":23,"knowledge of many languages needed":3,"linguistics has different methodologies":5,"linking database and critical editions":1,"methodological choices are documented":1,"methodologies are formalized in manuals":9,"methodologies should be preserved":3,"methodology is \"deposited\" through practice":3,"mixing methodologies from classical and modern philology":2,"multidisciplinarity":7,"my method is close to historiography":2,"no description of methods in the published work":1,"no methodology, no discipline":2,"outputs of research are becoming more varied":1,"philology as a discipline is deeply formalized":7,"photo archive is fundamental":1,"published transcription standards":3,"publishing underlying data":1,"recentio using library catalogues":3,"reusing code":1,"romance philology requires comparativism":3,"seminal critical editions set the standard":3,"single witness":3,"specificities of the humanities":17,"student-teacher collaboration":7,"terrible organization and repeated data losses":1,"theorization of the discipline still ongoing":3,"use of library services":7,"using Drive for cloud storage":8,"using Dropbox for cloud storage":7,"using Facebook to communicate":2,"using a third-party archive":3,"using email and phone to communicate":2,"using other (non specified) cloud storage":1,"using software for corpora creation":1,"using tech to revolutionize state of the art":2,"videoconference tools":1,"visual philology":2,"working alone":8,"working with Excel":5,"working with MS Word":6,"working with others as part of a team":21,"working with others through consultations":13},"research evaluation":{"fears around research ideas being stolen":6,"not everything in research can be measured":5,"research evaluation stifles collaboration and openess":2,"research evaluation stifles innovation":1,"we need to find new ways of measuring research in the humanities":3},"statements on open science, open data, open access":{"OA is not common in my field":1,"OA should be the norm for journals":2,"Universities should make tools available to their researchers":4,"academics are invited to apply for EU-funded projects":1,"concerns around APC/BPC":2,"concerns around the new rules for EU-funded projects":4,"definition of open data":1,"making data available and reusable is an entirely new job":1,"most publications in my field are OA and digital":1,"need to give back to people what you are studying":2,"open data pertains to the humanities?":1,"primary sources in Libraries should be digitized and made available":3,"problems in accessing funding":3,"traditional publishers protect academic works excessively":2,"we make available articles and curated datasets":1,"willingness to share research data":5},"statements on technology":{"importance of pen and paper":6,"technology allowing advances in the discipline":5,"technology changed the way of working":9}},"kind":"hierarchy"}}}</figure-records>
</file>